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header1.xml" ContentType="application/vnd.openxmlformats-officedocument.wordprocessingml.header+xml"/>
  <Override PartName="/word/embeddings/oleObject1.bin" ContentType="application/vnd.openxmlformats-officedocument.oleObject"/>
  <Override PartName="/word/embeddings/oleObject2.bin" ContentType="application/vnd.openxmlformats-officedocument.oleObject"/>
  <Override PartName="/word/media/image1.wmf" ContentType="image/x-wmf"/>
  <Override PartName="/word/media/image2.wmf" ContentType="image/x-wmf"/>
  <Override PartName="/word/header2.xml" ContentType="application/vnd.openxmlformats-officedocument.wordprocessingml.header+xml"/>
  <Override PartName="/word/comments.xml" ContentType="application/vnd.openxmlformats-officedocument.wordprocessingml.comment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Override PartName="/word/_rels/header1.xml.rels" ContentType="application/vnd.openxmlformats-package.relationships+xml"/>
  <Override PartName="/word/_rels/header2.xml.rels" ContentType="application/vnd.openxmlformats-package.relationships+xml"/>
  <Override PartName="/word/_rels/comments.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lineRule="auto" w:line="240" w:before="0" w:after="0"/>
        <w:ind w:left="0" w:right="0" w:hanging="0"/>
        <w:rPr>
          <w:rFonts w:ascii="Arial" w:hAnsi="Arial" w:cs="Arial"/>
          <w:color w:val="5B5B5F"/>
          <w:sz w:val="36"/>
          <w:szCs w:val="36"/>
        </w:rPr>
      </w:pPr>
      <w:r>
        <w:rPr>
          <w:rFonts w:cs="Arial"/>
          <w:color w:val="5B5B5F"/>
          <w:sz w:val="36"/>
          <w:szCs w:val="36"/>
        </w:rPr>
        <w:tab/>
      </w:r>
    </w:p>
    <w:tbl>
      <w:tblPr>
        <w:tblW w:w="9799" w:type="dxa"/>
        <w:jc w:val="left"/>
        <w:tblInd w:w="-5" w:type="dxa"/>
        <w:tblLayout w:type="fixed"/>
        <w:tblCellMar>
          <w:top w:w="0" w:type="dxa"/>
          <w:left w:w="70" w:type="dxa"/>
          <w:bottom w:w="0" w:type="dxa"/>
          <w:right w:w="70" w:type="dxa"/>
        </w:tblCellMar>
      </w:tblPr>
      <w:tblGrid>
        <w:gridCol w:w="5954"/>
        <w:gridCol w:w="3844"/>
      </w:tblGrid>
      <w:tr>
        <w:trPr/>
        <w:tc>
          <w:tcPr>
            <w:tcW w:w="9798" w:type="dxa"/>
            <w:gridSpan w:val="2"/>
            <w:tcBorders>
              <w:top w:val="single" w:sz="4" w:space="0" w:color="000000"/>
              <w:left w:val="single" w:sz="4" w:space="0" w:color="000000"/>
              <w:bottom w:val="single" w:sz="4" w:space="0" w:color="000000"/>
              <w:right w:val="single" w:sz="4" w:space="0" w:color="000000"/>
            </w:tcBorders>
          </w:tcPr>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center"/>
              <w:rPr>
                <w:rFonts w:ascii="Arial" w:hAnsi="Arial" w:cs="Arial"/>
                <w:b/>
                <w:b/>
                <w:bCs/>
                <w:color w:val="auto"/>
                <w:sz w:val="20"/>
                <w:szCs w:val="20"/>
              </w:rPr>
            </w:pPr>
            <w:r>
              <w:rPr>
                <w:rFonts w:cs="Arial"/>
                <w:b/>
                <w:bCs/>
                <w:color w:val="auto"/>
                <w:sz w:val="20"/>
                <w:szCs w:val="20"/>
              </w:rPr>
              <w:t>INFORMAÇÕES ACERCA DO EDITAL VIA INTERNET</w:t>
            </w:r>
          </w:p>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r>
          </w:p>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pacing w:lineRule="auto" w:line="240" w:before="0" w:after="0"/>
              <w:ind w:left="0" w:right="0" w:hanging="0"/>
              <w:jc w:val="both"/>
              <w:rPr/>
            </w:pPr>
            <w:r>
              <w:rPr>
                <w:rFonts w:cs="Arial"/>
                <w:color w:val="auto"/>
                <w:sz w:val="20"/>
                <w:szCs w:val="20"/>
              </w:rPr>
              <w:t xml:space="preserve">A empresa que optar pela retirada eletrônica do Edital, deverá enviar ofício a Prefeitura Municipal da Estância Turística de Paraguaçu Paulista. Fax (18) 3361-9109 ou via e-mail </w:t>
            </w:r>
            <w:hyperlink r:id="rId2">
              <w:r>
                <w:rPr>
                  <w:rStyle w:val="LinkdaInternet"/>
                  <w:rFonts w:cs="Arial"/>
                  <w:color w:val="auto"/>
                  <w:sz w:val="20"/>
                  <w:szCs w:val="20"/>
                  <w:u w:val="single"/>
                  <w:lang w:val="zxx" w:bidi="zxx"/>
                </w:rPr>
                <w:t>licitacao</w:t>
              </w:r>
              <w:r>
                <w:rPr>
                  <w:rStyle w:val="LinkdaInternet"/>
                  <w:rFonts w:cs="Arial"/>
                  <w:color w:val="auto"/>
                  <w:sz w:val="20"/>
                  <w:szCs w:val="20"/>
                  <w:u w:val="single"/>
                  <w:lang w:bidi="zxx"/>
                </w:rPr>
                <w:t>.e</w:t>
              </w:r>
              <w:r>
                <w:rPr>
                  <w:rStyle w:val="LinkdaInternet"/>
                  <w:rFonts w:cs="Arial"/>
                  <w:color w:val="auto"/>
                  <w:sz w:val="20"/>
                  <w:szCs w:val="20"/>
                  <w:u w:val="single"/>
                  <w:lang w:val="zxx" w:bidi="zxx"/>
                </w:rPr>
                <w:t>paraguacu</w:t>
              </w:r>
              <w:r>
                <w:rPr>
                  <w:rStyle w:val="LinkdaInternet"/>
                  <w:rFonts w:cs="Arial"/>
                  <w:color w:val="auto"/>
                  <w:sz w:val="20"/>
                  <w:szCs w:val="20"/>
                  <w:u w:val="single"/>
                  <w:lang w:bidi="zxx"/>
                </w:rPr>
                <w:t>@gmail.com</w:t>
              </w:r>
            </w:hyperlink>
          </w:p>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pacing w:lineRule="auto" w:line="240" w:before="0" w:after="0"/>
              <w:ind w:left="0" w:right="0" w:hanging="0"/>
              <w:jc w:val="both"/>
              <w:rPr>
                <w:rFonts w:ascii="Arial" w:hAnsi="Arial" w:cs="Arial"/>
                <w:color w:val="auto"/>
                <w:sz w:val="20"/>
                <w:szCs w:val="20"/>
              </w:rPr>
            </w:pPr>
            <w:r>
              <w:rPr>
                <w:rFonts w:cs="Arial"/>
                <w:color w:val="auto"/>
                <w:sz w:val="20"/>
                <w:szCs w:val="20"/>
              </w:rPr>
            </w:r>
          </w:p>
        </w:tc>
      </w:tr>
      <w:tr>
        <w:trPr/>
        <w:tc>
          <w:tcPr>
            <w:tcW w:w="9798" w:type="dxa"/>
            <w:gridSpan w:val="2"/>
            <w:tcBorders>
              <w:top w:val="single" w:sz="4" w:space="0" w:color="000000"/>
              <w:left w:val="single" w:sz="4" w:space="0" w:color="000000"/>
              <w:bottom w:val="single" w:sz="4" w:space="0" w:color="000000"/>
              <w:right w:val="single" w:sz="4" w:space="0" w:color="000000"/>
            </w:tcBorders>
          </w:tcPr>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center"/>
              <w:rPr>
                <w:rFonts w:ascii="Arial" w:hAnsi="Arial" w:cs="Arial"/>
                <w:b/>
                <w:b/>
                <w:bCs/>
                <w:color w:val="auto"/>
                <w:sz w:val="20"/>
                <w:szCs w:val="20"/>
              </w:rPr>
            </w:pPr>
            <w:r>
              <w:rPr>
                <w:rFonts w:cs="Arial"/>
                <w:b/>
                <w:bCs/>
                <w:color w:val="auto"/>
                <w:sz w:val="20"/>
                <w:szCs w:val="20"/>
              </w:rPr>
              <w:t>(MODELO RECIBO)</w:t>
            </w:r>
          </w:p>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pacing w:lineRule="auto" w:line="240" w:before="0" w:after="0"/>
              <w:ind w:left="0" w:right="0" w:hanging="0"/>
              <w:jc w:val="center"/>
              <w:rPr/>
            </w:pPr>
            <w:r>
              <w:rPr>
                <w:rStyle w:val="Strong"/>
                <w:rFonts w:cs="Arial"/>
                <w:b/>
                <w:color w:val="auto"/>
                <w:sz w:val="20"/>
                <w:szCs w:val="20"/>
              </w:rPr>
              <w:t>CONCORRÊNCIA (ELETRÔNICA)</w:t>
            </w:r>
            <w:r>
              <w:rPr>
                <w:rFonts w:cs="Arial"/>
                <w:b/>
                <w:bCs/>
                <w:color w:val="auto"/>
                <w:sz w:val="20"/>
                <w:szCs w:val="20"/>
              </w:rPr>
              <w:t xml:space="preserve"> Nº 001</w:t>
            </w:r>
            <w:r>
              <w:rPr>
                <w:rFonts w:eastAsia="NSimSun" w:cs="Arial"/>
                <w:b/>
                <w:bCs/>
                <w:color w:val="auto"/>
                <w:kern w:val="2"/>
                <w:sz w:val="20"/>
                <w:szCs w:val="20"/>
                <w:lang w:val="pt-BR" w:eastAsia="zh-CN" w:bidi="hi-IN"/>
              </w:rPr>
              <w:t>/2024</w:t>
            </w:r>
          </w:p>
          <w:p>
            <w:pPr>
              <w:pStyle w:val="Normal"/>
              <w:widowControl w:val="false"/>
              <w:numPr>
                <w:ilvl w:val="0"/>
                <w:numId w:val="3"/>
              </w:numPr>
              <w:suppressLineNumbers/>
              <w:tabs>
                <w:tab w:val="clear" w:pos="708"/>
                <w:tab w:val="left" w:pos="720" w:leader="none"/>
                <w:tab w:val="left" w:pos="1440" w:leader="none"/>
                <w:tab w:val="left" w:pos="2160" w:leader="none"/>
                <w:tab w:val="left" w:pos="2880" w:leader="none"/>
                <w:tab w:val="left" w:pos="3600" w:leader="none"/>
                <w:tab w:val="left" w:pos="4320" w:leader="none"/>
                <w:tab w:val="center" w:pos="4419" w:leader="none"/>
                <w:tab w:val="center" w:pos="4819" w:leader="none"/>
                <w:tab w:val="left" w:pos="5040" w:leader="none"/>
                <w:tab w:val="left" w:pos="5760" w:leader="none"/>
                <w:tab w:val="left" w:pos="6480" w:leader="none"/>
                <w:tab w:val="left" w:pos="7200" w:leader="none"/>
                <w:tab w:val="left" w:pos="7920" w:leader="none"/>
                <w:tab w:val="right" w:pos="8838" w:leader="none"/>
                <w:tab w:val="right" w:pos="9638" w:leader="none"/>
              </w:tabs>
              <w:bidi w:val="0"/>
              <w:spacing w:lineRule="auto" w:line="240" w:before="0" w:after="0"/>
              <w:ind w:left="0" w:right="0" w:hanging="0"/>
              <w:jc w:val="center"/>
              <w:rPr>
                <w:rFonts w:ascii="Arial" w:hAnsi="Arial" w:eastAsia="Arial" w:cs="Arial"/>
                <w:b/>
                <w:b/>
                <w:bCs/>
                <w:color w:val="000000"/>
                <w:sz w:val="20"/>
                <w:szCs w:val="20"/>
                <w:shd w:fill="FFFFFF" w:val="clear"/>
              </w:rPr>
            </w:pPr>
            <w:r>
              <w:rPr>
                <w:rFonts w:eastAsia="Arial" w:cs="Arial"/>
                <w:b/>
                <w:bCs/>
                <w:color w:val="000000"/>
                <w:sz w:val="20"/>
                <w:szCs w:val="20"/>
                <w:shd w:fill="FFFFFF" w:val="clear"/>
              </w:rPr>
              <w:t>(AMPLA PARTICIPAÇÃO)</w:t>
            </w:r>
          </w:p>
          <w:p>
            <w:pPr>
              <w:pStyle w:val="Normal"/>
              <w:widowControl w:val="false"/>
              <w:numPr>
                <w:ilvl w:val="0"/>
                <w:numId w:val="3"/>
              </w:numPr>
              <w:tabs>
                <w:tab w:val="clear" w:pos="708"/>
                <w:tab w:val="left" w:pos="720" w:leader="none"/>
                <w:tab w:val="left" w:pos="1440" w:leader="none"/>
                <w:tab w:val="left" w:pos="2160" w:leader="none"/>
                <w:tab w:val="left" w:pos="2880" w:leader="none"/>
                <w:tab w:val="left" w:pos="3600" w:leader="none"/>
                <w:tab w:val="left" w:pos="4320" w:leader="none"/>
                <w:tab w:val="center" w:pos="4819" w:leader="none"/>
                <w:tab w:val="left" w:pos="5040" w:leader="none"/>
                <w:tab w:val="left" w:pos="5760" w:leader="none"/>
                <w:tab w:val="left" w:pos="6480" w:leader="none"/>
                <w:tab w:val="left" w:pos="7200" w:leader="none"/>
                <w:tab w:val="left" w:pos="7920" w:leader="none"/>
                <w:tab w:val="right" w:pos="9638" w:leader="none"/>
              </w:tabs>
              <w:suppressAutoHyphens w:val="true"/>
              <w:bidi w:val="0"/>
              <w:spacing w:lineRule="auto" w:line="240" w:before="0" w:after="0"/>
              <w:ind w:left="0" w:right="0" w:hanging="0"/>
              <w:jc w:val="center"/>
              <w:rPr/>
            </w:pPr>
            <w:r>
              <w:rPr>
                <w:rStyle w:val="Strong"/>
                <w:rFonts w:eastAsia="NSimSun" w:cs="Arial"/>
                <w:b/>
                <w:bCs/>
                <w:caps/>
                <w:color w:val="000000"/>
                <w:kern w:val="2"/>
                <w:sz w:val="20"/>
                <w:szCs w:val="20"/>
                <w:shd w:fill="FFFFFF" w:val="clear"/>
                <w:lang w:val="pt-BR" w:eastAsia="zh-CN" w:bidi="hi-IN"/>
              </w:rPr>
              <w:t>Contratação de empresa, para Construção de Unidade de Saúde no C.H. Dona Lina Leuzzi.</w:t>
            </w:r>
          </w:p>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pacing w:lineRule="auto" w:line="240" w:before="0" w:after="0"/>
              <w:ind w:left="0" w:right="0" w:hanging="0"/>
              <w:jc w:val="center"/>
              <w:rPr>
                <w:rFonts w:ascii="Arial" w:hAnsi="Arial" w:cs="Arial"/>
                <w:b/>
                <w:b/>
                <w:bCs/>
                <w:color w:val="auto"/>
                <w:sz w:val="20"/>
                <w:szCs w:val="20"/>
              </w:rPr>
            </w:pPr>
            <w:r>
              <w:rPr>
                <w:rFonts w:cs="Arial"/>
                <w:b/>
                <w:bCs/>
                <w:color w:val="auto"/>
                <w:sz w:val="20"/>
                <w:szCs w:val="20"/>
              </w:rPr>
            </w:r>
          </w:p>
        </w:tc>
      </w:tr>
      <w:tr>
        <w:trPr/>
        <w:tc>
          <w:tcPr>
            <w:tcW w:w="9798" w:type="dxa"/>
            <w:gridSpan w:val="2"/>
            <w:tcBorders>
              <w:top w:val="single" w:sz="4" w:space="0" w:color="000000"/>
              <w:left w:val="single" w:sz="4" w:space="0" w:color="000000"/>
              <w:bottom w:val="single" w:sz="4" w:space="0" w:color="000000"/>
              <w:right w:val="single" w:sz="4" w:space="0" w:color="000000"/>
            </w:tcBorders>
          </w:tcPr>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both"/>
              <w:rPr>
                <w:rFonts w:ascii="Arial" w:hAnsi="Arial" w:cs="Arial"/>
                <w:b/>
                <w:b/>
                <w:bCs/>
                <w:color w:val="auto"/>
                <w:sz w:val="20"/>
                <w:szCs w:val="20"/>
              </w:rPr>
            </w:pPr>
            <w:r>
              <w:rPr>
                <w:rFonts w:cs="Arial"/>
                <w:b/>
                <w:bCs/>
                <w:color w:val="auto"/>
                <w:sz w:val="20"/>
                <w:szCs w:val="20"/>
              </w:rPr>
              <w:t>RAZÃO SOCIAL:</w:t>
            </w:r>
          </w:p>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both"/>
              <w:rPr>
                <w:rFonts w:ascii="Arial" w:hAnsi="Arial" w:cs="Arial"/>
                <w:b/>
                <w:b/>
                <w:bCs/>
                <w:color w:val="auto"/>
                <w:sz w:val="20"/>
                <w:szCs w:val="20"/>
              </w:rPr>
            </w:pPr>
            <w:r>
              <w:rPr>
                <w:rFonts w:cs="Arial"/>
                <w:b/>
                <w:bCs/>
                <w:color w:val="auto"/>
                <w:sz w:val="20"/>
                <w:szCs w:val="20"/>
              </w:rPr>
            </w:r>
          </w:p>
        </w:tc>
      </w:tr>
      <w:tr>
        <w:trPr/>
        <w:tc>
          <w:tcPr>
            <w:tcW w:w="9798" w:type="dxa"/>
            <w:gridSpan w:val="2"/>
            <w:tcBorders>
              <w:top w:val="single" w:sz="4" w:space="0" w:color="000000"/>
              <w:left w:val="single" w:sz="4" w:space="0" w:color="000000"/>
              <w:bottom w:val="single" w:sz="4" w:space="0" w:color="000000"/>
              <w:right w:val="single" w:sz="4" w:space="0" w:color="000000"/>
            </w:tcBorders>
          </w:tcPr>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both"/>
              <w:rPr>
                <w:rFonts w:ascii="Arial" w:hAnsi="Arial" w:cs="Arial"/>
                <w:b/>
                <w:b/>
                <w:bCs/>
                <w:color w:val="auto"/>
                <w:sz w:val="20"/>
                <w:szCs w:val="20"/>
              </w:rPr>
            </w:pPr>
            <w:r>
              <w:rPr>
                <w:rFonts w:cs="Arial"/>
                <w:b/>
                <w:bCs/>
                <w:color w:val="auto"/>
                <w:sz w:val="20"/>
                <w:szCs w:val="20"/>
              </w:rPr>
              <w:t>CNPJ:</w:t>
            </w:r>
          </w:p>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both"/>
              <w:rPr>
                <w:rFonts w:ascii="Arial" w:hAnsi="Arial" w:cs="Arial"/>
                <w:b/>
                <w:b/>
                <w:bCs/>
                <w:color w:val="auto"/>
                <w:sz w:val="20"/>
                <w:szCs w:val="20"/>
              </w:rPr>
            </w:pPr>
            <w:r>
              <w:rPr>
                <w:rFonts w:cs="Arial"/>
                <w:b/>
                <w:bCs/>
                <w:color w:val="auto"/>
                <w:sz w:val="20"/>
                <w:szCs w:val="20"/>
              </w:rPr>
            </w:r>
          </w:p>
        </w:tc>
      </w:tr>
      <w:tr>
        <w:trPr/>
        <w:tc>
          <w:tcPr>
            <w:tcW w:w="5954" w:type="dxa"/>
            <w:tcBorders>
              <w:top w:val="single" w:sz="4" w:space="0" w:color="000000"/>
              <w:left w:val="single" w:sz="4" w:space="0" w:color="000000"/>
              <w:bottom w:val="single" w:sz="4" w:space="0" w:color="000000"/>
            </w:tcBorders>
          </w:tcPr>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both"/>
              <w:rPr>
                <w:rFonts w:ascii="Arial" w:hAnsi="Arial" w:cs="Arial"/>
                <w:b/>
                <w:b/>
                <w:bCs/>
                <w:color w:val="auto"/>
                <w:sz w:val="20"/>
                <w:szCs w:val="20"/>
              </w:rPr>
            </w:pPr>
            <w:r>
              <w:rPr>
                <w:rFonts w:cs="Arial"/>
                <w:b/>
                <w:bCs/>
                <w:color w:val="auto"/>
                <w:sz w:val="20"/>
                <w:szCs w:val="20"/>
              </w:rPr>
              <w:t>NOME:</w:t>
            </w:r>
          </w:p>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both"/>
              <w:rPr>
                <w:rFonts w:ascii="Arial" w:hAnsi="Arial" w:cs="Arial"/>
                <w:b/>
                <w:b/>
                <w:bCs/>
                <w:color w:val="auto"/>
                <w:sz w:val="20"/>
                <w:szCs w:val="20"/>
              </w:rPr>
            </w:pPr>
            <w:r>
              <w:rPr>
                <w:rFonts w:cs="Arial"/>
                <w:b/>
                <w:bCs/>
                <w:color w:val="auto"/>
                <w:sz w:val="20"/>
                <w:szCs w:val="20"/>
              </w:rPr>
            </w:r>
          </w:p>
        </w:tc>
        <w:tc>
          <w:tcPr>
            <w:tcW w:w="3844" w:type="dxa"/>
            <w:tcBorders>
              <w:top w:val="single" w:sz="4" w:space="0" w:color="000000"/>
              <w:left w:val="single" w:sz="4" w:space="0" w:color="000000"/>
              <w:bottom w:val="single" w:sz="4" w:space="0" w:color="000000"/>
              <w:right w:val="single" w:sz="4" w:space="0" w:color="000000"/>
            </w:tcBorders>
          </w:tcPr>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both"/>
              <w:rPr>
                <w:rFonts w:ascii="Arial" w:hAnsi="Arial" w:cs="Arial"/>
                <w:b/>
                <w:b/>
                <w:bCs/>
                <w:color w:val="auto"/>
                <w:sz w:val="20"/>
                <w:szCs w:val="20"/>
              </w:rPr>
            </w:pPr>
            <w:r>
              <w:rPr>
                <w:rFonts w:cs="Arial"/>
                <w:b/>
                <w:bCs/>
                <w:color w:val="auto"/>
                <w:sz w:val="20"/>
                <w:szCs w:val="20"/>
              </w:rPr>
              <w:t>TELEFONE</w:t>
            </w:r>
          </w:p>
        </w:tc>
      </w:tr>
      <w:tr>
        <w:trPr/>
        <w:tc>
          <w:tcPr>
            <w:tcW w:w="9798" w:type="dxa"/>
            <w:gridSpan w:val="2"/>
            <w:tcBorders>
              <w:left w:val="single" w:sz="4" w:space="0" w:color="000000"/>
              <w:bottom w:val="single" w:sz="4" w:space="0" w:color="000000"/>
              <w:right w:val="single" w:sz="4" w:space="0" w:color="000000"/>
            </w:tcBorders>
          </w:tcPr>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both"/>
              <w:rPr>
                <w:rFonts w:ascii="Arial" w:hAnsi="Arial" w:cs="Arial"/>
                <w:b/>
                <w:b/>
                <w:bCs/>
                <w:color w:val="auto"/>
                <w:sz w:val="20"/>
                <w:szCs w:val="20"/>
              </w:rPr>
            </w:pPr>
            <w:r>
              <w:rPr>
                <w:rFonts w:cs="Arial"/>
                <w:b/>
                <w:bCs/>
                <w:color w:val="auto"/>
                <w:sz w:val="20"/>
                <w:szCs w:val="20"/>
              </w:rPr>
              <w:t>E-MAIL:</w:t>
            </w:r>
          </w:p>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both"/>
              <w:rPr>
                <w:rFonts w:ascii="Arial" w:hAnsi="Arial" w:cs="Arial"/>
                <w:b/>
                <w:b/>
                <w:bCs/>
                <w:color w:val="auto"/>
                <w:sz w:val="20"/>
                <w:szCs w:val="20"/>
              </w:rPr>
            </w:pPr>
            <w:r>
              <w:rPr>
                <w:rFonts w:cs="Arial"/>
                <w:b/>
                <w:bCs/>
                <w:color w:val="auto"/>
                <w:sz w:val="20"/>
                <w:szCs w:val="20"/>
              </w:rPr>
            </w:r>
          </w:p>
        </w:tc>
      </w:tr>
    </w:tbl>
    <w:p>
      <w:pPr>
        <w:pStyle w:val="Normal"/>
        <w:spacing w:lineRule="auto" w:line="240" w:before="0" w:after="0"/>
        <w:ind w:left="0" w:right="0" w:hanging="0"/>
        <w:rPr>
          <w:rFonts w:ascii="Arial" w:hAnsi="Arial" w:cs="Arial"/>
          <w:color w:val="5B5B5F"/>
          <w:sz w:val="36"/>
          <w:szCs w:val="36"/>
        </w:rPr>
      </w:pPr>
      <w:r>
        <w:rPr>
          <w:rFonts w:cs="Arial"/>
          <w:color w:val="5B5B5F"/>
          <w:sz w:val="36"/>
          <w:szCs w:val="36"/>
        </w:rPr>
      </w:r>
    </w:p>
    <w:p>
      <w:pPr>
        <w:pStyle w:val="Normal"/>
        <w:spacing w:lineRule="auto" w:line="240" w:before="0" w:after="0"/>
        <w:ind w:left="0" w:right="0" w:hanging="0"/>
        <w:rPr>
          <w:rFonts w:ascii="Arial" w:hAnsi="Arial" w:cs="Arial"/>
          <w:b/>
          <w:b/>
          <w:bCs/>
          <w:color w:val="5B5B5F"/>
          <w:sz w:val="26"/>
          <w:szCs w:val="26"/>
        </w:rPr>
      </w:pPr>
      <w:r>
        <w:rPr>
          <w:rFonts w:cs="Arial"/>
          <w:b/>
          <w:bCs/>
          <w:color w:val="5B5B5F"/>
          <w:sz w:val="26"/>
          <w:szCs w:val="26"/>
        </w:rPr>
      </w:r>
    </w:p>
    <w:tbl>
      <w:tblPr>
        <w:tblW w:w="9840" w:type="dxa"/>
        <w:jc w:val="left"/>
        <w:tblInd w:w="-5" w:type="dxa"/>
        <w:tblLayout w:type="fixed"/>
        <w:tblCellMar>
          <w:top w:w="0" w:type="dxa"/>
          <w:left w:w="70" w:type="dxa"/>
          <w:bottom w:w="0" w:type="dxa"/>
          <w:right w:w="70" w:type="dxa"/>
        </w:tblCellMar>
      </w:tblPr>
      <w:tblGrid>
        <w:gridCol w:w="9840"/>
      </w:tblGrid>
      <w:tr>
        <w:trPr/>
        <w:tc>
          <w:tcPr>
            <w:tcW w:w="9840" w:type="dxa"/>
            <w:tcBorders>
              <w:top w:val="single" w:sz="4" w:space="0" w:color="000000"/>
              <w:left w:val="single" w:sz="4" w:space="0" w:color="000000"/>
              <w:bottom w:val="single" w:sz="4" w:space="0" w:color="000000"/>
              <w:right w:val="single" w:sz="4" w:space="0" w:color="000000"/>
            </w:tcBorders>
          </w:tcPr>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both"/>
              <w:rPr>
                <w:rFonts w:ascii="Arial" w:hAnsi="Arial" w:cs="Arial"/>
                <w:color w:val="auto"/>
                <w:sz w:val="20"/>
                <w:szCs w:val="20"/>
              </w:rPr>
            </w:pPr>
            <w:r>
              <w:rPr>
                <w:rFonts w:cs="Arial"/>
                <w:color w:val="auto"/>
                <w:sz w:val="20"/>
                <w:szCs w:val="20"/>
              </w:rPr>
              <w:t>Obs.: Este recibo deverá ser preenchido e encaminhado, para eventuais comunicações aos interessados, quando necessário, sob pena de não nos responsabilizarmos por eventuais prejuízos decorrentes da impossibilidade de comunicação por quaisquer alterações que se fizerem necessárias neste Edital.</w:t>
            </w:r>
          </w:p>
          <w:p>
            <w:pPr>
              <w:pStyle w:val="Cabealho"/>
              <w:widowControl w:val="false"/>
              <w:numPr>
                <w:ilvl w:val="0"/>
                <w:numId w:val="3"/>
              </w:numPr>
              <w:tabs>
                <w:tab w:val="clear" w:pos="4252"/>
                <w:tab w:val="clear" w:pos="8504"/>
                <w:tab w:val="left" w:pos="720" w:leader="none"/>
                <w:tab w:val="left" w:pos="1440" w:leader="none"/>
                <w:tab w:val="left" w:pos="2160" w:leader="none"/>
                <w:tab w:val="left" w:pos="2880" w:leader="none"/>
                <w:tab w:val="left" w:pos="3600" w:leader="none"/>
                <w:tab w:val="left" w:pos="4320" w:leader="none"/>
                <w:tab w:val="center" w:pos="4818" w:leader="none"/>
                <w:tab w:val="left" w:pos="5040" w:leader="none"/>
                <w:tab w:val="left" w:pos="5760" w:leader="none"/>
                <w:tab w:val="left" w:pos="6480" w:leader="none"/>
                <w:tab w:val="left" w:pos="7200" w:leader="none"/>
                <w:tab w:val="left" w:pos="7920" w:leader="none"/>
                <w:tab w:val="right" w:pos="9637" w:leader="none"/>
              </w:tabs>
              <w:bidi w:val="0"/>
              <w:snapToGrid w:val="false"/>
              <w:spacing w:lineRule="auto" w:line="240" w:before="0" w:after="0"/>
              <w:ind w:left="0" w:right="0" w:hanging="0"/>
              <w:jc w:val="center"/>
              <w:rPr>
                <w:rFonts w:ascii="Arial" w:hAnsi="Arial" w:cs="Arial"/>
                <w:b/>
                <w:b/>
                <w:bCs/>
                <w:color w:val="auto"/>
                <w:sz w:val="20"/>
                <w:szCs w:val="20"/>
              </w:rPr>
            </w:pPr>
            <w:r>
              <w:rPr>
                <w:rFonts w:cs="Arial"/>
                <w:b/>
                <w:bCs/>
                <w:color w:val="auto"/>
                <w:sz w:val="20"/>
                <w:szCs w:val="20"/>
              </w:rPr>
              <w:t>(ALÉM DISSO, DEVE ACOMPANHAR PELO SITE EVENTUAIS MUDANÇAS).</w:t>
            </w:r>
          </w:p>
        </w:tc>
      </w:tr>
    </w:tbl>
    <w:p>
      <w:pPr>
        <w:pStyle w:val="Normal"/>
        <w:spacing w:lineRule="auto" w:line="240" w:before="0" w:after="0"/>
        <w:ind w:left="0" w:right="0" w:hanging="0"/>
        <w:rPr>
          <w:rFonts w:ascii="Arial" w:hAnsi="Arial" w:cs="Arial"/>
          <w:b/>
          <w:b/>
          <w:bCs/>
          <w:color w:val="5B5B5F"/>
          <w:sz w:val="26"/>
          <w:szCs w:val="26"/>
        </w:rPr>
      </w:pPr>
      <w:r>
        <w:rPr>
          <w:rFonts w:cs="Arial"/>
          <w:b/>
          <w:bCs/>
          <w:color w:val="5B5B5F"/>
          <w:sz w:val="26"/>
          <w:szCs w:val="26"/>
        </w:rPr>
      </w:r>
    </w:p>
    <w:p>
      <w:pPr>
        <w:pStyle w:val="Normal"/>
        <w:spacing w:lineRule="auto" w:line="240" w:before="0" w:after="0"/>
        <w:ind w:left="0" w:right="0" w:hanging="0"/>
        <w:rPr>
          <w:rFonts w:ascii="Arial" w:hAnsi="Arial" w:cs="Arial"/>
          <w:b/>
          <w:b/>
          <w:bCs/>
          <w:color w:val="5B5B5F"/>
          <w:sz w:val="26"/>
          <w:szCs w:val="26"/>
        </w:rPr>
      </w:pPr>
      <w:r>
        <w:rPr>
          <w:rFonts w:cs="Arial"/>
          <w:b/>
          <w:bCs/>
          <w:color w:val="5B5B5F"/>
          <w:sz w:val="26"/>
          <w:szCs w:val="26"/>
        </w:rPr>
      </w:r>
    </w:p>
    <w:p>
      <w:pPr>
        <w:pStyle w:val="Normal"/>
        <w:spacing w:lineRule="auto" w:line="240" w:before="0" w:after="0"/>
        <w:ind w:left="0" w:right="0" w:hanging="0"/>
        <w:rPr>
          <w:rFonts w:ascii="Arial" w:hAnsi="Arial" w:cs="Arial"/>
          <w:b/>
          <w:b/>
          <w:bCs/>
          <w:color w:val="5B5B5F"/>
          <w:sz w:val="26"/>
          <w:szCs w:val="26"/>
        </w:rPr>
      </w:pPr>
      <w:r>
        <w:rPr>
          <w:rFonts w:cs="Arial"/>
          <w:b/>
          <w:bCs/>
          <w:color w:val="5B5B5F"/>
          <w:sz w:val="26"/>
          <w:szCs w:val="26"/>
        </w:rPr>
      </w:r>
    </w:p>
    <w:p>
      <w:pPr>
        <w:pStyle w:val="Normal"/>
        <w:spacing w:lineRule="auto" w:line="240" w:before="0" w:after="0"/>
        <w:ind w:left="0" w:right="0" w:hanging="0"/>
        <w:rPr>
          <w:rFonts w:ascii="Arial" w:hAnsi="Arial" w:cs="Arial"/>
          <w:b/>
          <w:b/>
          <w:bCs/>
          <w:color w:val="5B5B5F"/>
          <w:sz w:val="26"/>
          <w:szCs w:val="26"/>
        </w:rPr>
      </w:pPr>
      <w:r>
        <w:rPr>
          <w:rFonts w:cs="Arial"/>
          <w:b/>
          <w:bCs/>
          <w:color w:val="5B5B5F"/>
          <w:sz w:val="26"/>
          <w:szCs w:val="26"/>
        </w:rPr>
      </w:r>
    </w:p>
    <w:p>
      <w:pPr>
        <w:pStyle w:val="Normal"/>
        <w:spacing w:lineRule="auto" w:line="240" w:before="0" w:after="0"/>
        <w:ind w:left="0" w:right="0" w:hanging="0"/>
        <w:rPr>
          <w:rFonts w:ascii="Arial" w:hAnsi="Arial" w:cs="Arial"/>
          <w:b/>
          <w:b/>
          <w:bCs/>
          <w:color w:val="5B5B5F"/>
          <w:sz w:val="26"/>
          <w:szCs w:val="26"/>
        </w:rPr>
      </w:pPr>
      <w:r>
        <w:rPr>
          <w:rFonts w:cs="Arial"/>
          <w:b/>
          <w:bCs/>
          <w:color w:val="5B5B5F"/>
          <w:sz w:val="26"/>
          <w:szCs w:val="26"/>
        </w:rPr>
      </w:r>
    </w:p>
    <w:p>
      <w:pPr>
        <w:pStyle w:val="Normal"/>
        <w:spacing w:lineRule="auto" w:line="240" w:before="0" w:after="0"/>
        <w:ind w:left="0" w:right="0" w:hanging="0"/>
        <w:rPr>
          <w:rFonts w:ascii="Arial" w:hAnsi="Arial" w:cs="Arial"/>
          <w:b/>
          <w:b/>
          <w:bCs/>
          <w:color w:val="5B5B5F"/>
          <w:sz w:val="26"/>
          <w:szCs w:val="26"/>
        </w:rPr>
      </w:pPr>
      <w:r>
        <w:rPr>
          <w:rFonts w:cs="Arial"/>
          <w:b/>
          <w:bCs/>
          <w:color w:val="5B5B5F"/>
          <w:sz w:val="26"/>
          <w:szCs w:val="26"/>
        </w:rPr>
      </w:r>
    </w:p>
    <w:p>
      <w:pPr>
        <w:pStyle w:val="Normal"/>
        <w:spacing w:lineRule="auto" w:line="240" w:before="0" w:after="0"/>
        <w:ind w:left="0" w:right="0" w:hanging="0"/>
        <w:rPr>
          <w:rFonts w:ascii="Arial" w:hAnsi="Arial" w:cs="Arial"/>
          <w:b/>
          <w:b/>
          <w:bCs/>
          <w:color w:val="5B5B5F"/>
          <w:sz w:val="26"/>
          <w:szCs w:val="26"/>
        </w:rPr>
      </w:pPr>
      <w:r>
        <w:rPr>
          <w:rFonts w:cs="Arial"/>
          <w:b/>
          <w:bCs/>
          <w:color w:val="5B5B5F"/>
          <w:sz w:val="26"/>
          <w:szCs w:val="26"/>
        </w:rPr>
      </w:r>
    </w:p>
    <w:p>
      <w:pPr>
        <w:pStyle w:val="Normal"/>
        <w:spacing w:lineRule="auto" w:line="240" w:before="0" w:after="0"/>
        <w:ind w:left="0" w:right="0" w:hanging="0"/>
        <w:rPr>
          <w:rFonts w:ascii="Arial" w:hAnsi="Arial" w:cs="Arial"/>
          <w:b/>
          <w:b/>
          <w:bCs/>
          <w:color w:val="5B5B5F"/>
          <w:sz w:val="26"/>
          <w:szCs w:val="26"/>
        </w:rPr>
      </w:pPr>
      <w:r>
        <w:rPr>
          <w:rFonts w:cs="Arial"/>
          <w:b/>
          <w:bCs/>
          <w:color w:val="5B5B5F"/>
          <w:sz w:val="26"/>
          <w:szCs w:val="26"/>
        </w:rPr>
      </w:r>
    </w:p>
    <w:p>
      <w:pPr>
        <w:pStyle w:val="Normal"/>
        <w:spacing w:lineRule="auto" w:line="240" w:before="0" w:after="0"/>
        <w:ind w:left="0" w:right="0" w:hanging="0"/>
        <w:rPr>
          <w:rFonts w:ascii="Arial" w:hAnsi="Arial" w:cs="Arial"/>
          <w:b/>
          <w:b/>
          <w:bCs/>
          <w:color w:val="5B5B5F"/>
          <w:sz w:val="26"/>
          <w:szCs w:val="26"/>
        </w:rPr>
      </w:pPr>
      <w:r>
        <w:rPr>
          <w:rFonts w:cs="Arial"/>
          <w:b/>
          <w:bCs/>
          <w:color w:val="5B5B5F"/>
          <w:sz w:val="26"/>
          <w:szCs w:val="26"/>
        </w:rPr>
      </w:r>
    </w:p>
    <w:p>
      <w:pPr>
        <w:sectPr>
          <w:headerReference w:type="default" r:id="rId3"/>
          <w:type w:val="nextPage"/>
          <w:pgSz w:w="11906" w:h="16838"/>
          <w:pgMar w:left="1134" w:right="1134" w:header="709" w:top="1418" w:footer="0" w:bottom="1418" w:gutter="0"/>
          <w:pgNumType w:fmt="decimal"/>
          <w:formProt w:val="false"/>
          <w:textDirection w:val="lrTb"/>
          <w:docGrid w:type="default" w:linePitch="360" w:charSpace="8192"/>
        </w:sectPr>
        <w:pStyle w:val="Normal"/>
        <w:spacing w:lineRule="auto" w:line="240" w:before="0" w:after="0"/>
        <w:ind w:left="0" w:right="0" w:hanging="0"/>
        <w:rPr>
          <w:rFonts w:ascii="Arial" w:hAnsi="Arial" w:cs="Arial"/>
          <w:b/>
          <w:b/>
          <w:bCs/>
          <w:color w:val="5B5B5F"/>
          <w:sz w:val="26"/>
          <w:szCs w:val="26"/>
        </w:rPr>
      </w:pPr>
      <w:r>
        <w:rPr>
          <w:rFonts w:cs="Arial"/>
          <w:b/>
          <w:bCs/>
          <w:color w:val="5B5B5F"/>
          <w:sz w:val="26"/>
          <w:szCs w:val="26"/>
        </w:rPr>
      </w:r>
    </w:p>
    <w:p>
      <w:pPr>
        <w:pStyle w:val="Normal"/>
        <w:spacing w:lineRule="auto" w:line="240" w:before="0" w:after="0"/>
        <w:ind w:left="0" w:right="0" w:hanging="0"/>
        <w:rPr>
          <w:rFonts w:ascii="Arial" w:hAnsi="Arial" w:cs="Arial"/>
          <w:b/>
          <w:b/>
          <w:bCs/>
          <w:color w:val="5B5B5F"/>
          <w:sz w:val="20"/>
          <w:szCs w:val="20"/>
        </w:rPr>
      </w:pPr>
      <w:r>
        <w:rPr>
          <w:rFonts w:cs="Arial"/>
          <w:b/>
          <w:bCs/>
          <w:color w:val="5B5B5F"/>
          <w:sz w:val="20"/>
          <w:szCs w:val="20"/>
        </w:rPr>
      </w:r>
    </w:p>
    <w:p>
      <w:pPr>
        <w:pStyle w:val="Ttulo1"/>
        <w:bidi w:val="0"/>
        <w:spacing w:lineRule="auto" w:line="240" w:before="0" w:after="0"/>
        <w:ind w:left="0" w:right="0" w:hanging="0"/>
        <w:jc w:val="center"/>
        <w:rPr>
          <w:rFonts w:ascii="Arial" w:hAnsi="Arial" w:cs="Arial"/>
          <w:b/>
          <w:b/>
          <w:bCs/>
          <w:color w:val="5B5B5F"/>
          <w:sz w:val="26"/>
          <w:szCs w:val="26"/>
        </w:rPr>
      </w:pPr>
      <w:r>
        <w:rPr>
          <w:rStyle w:val="Strong"/>
          <w:rFonts w:eastAsia="Lucida Sans Unicode" w:cs="Arial" w:ascii="Arial" w:hAnsi="Arial"/>
          <w:b/>
          <w:color w:val="auto"/>
          <w:kern w:val="2"/>
          <w:sz w:val="20"/>
          <w:szCs w:val="20"/>
          <w:u w:val="single"/>
          <w:lang w:val="pt-BR" w:eastAsia="hi-IN" w:bidi="hi-IN"/>
        </w:rPr>
        <w:t>CONCORRÊNCIA  (ELETRÔNICA) N</w:t>
      </w:r>
      <w:r>
        <w:rPr>
          <w:rStyle w:val="Strong"/>
          <w:rFonts w:cs="Arial" w:ascii="Arial" w:hAnsi="Arial"/>
          <w:b/>
          <w:color w:val="auto"/>
          <w:sz w:val="20"/>
          <w:szCs w:val="20"/>
          <w:u w:val="single"/>
        </w:rPr>
        <w:t>º 001</w:t>
      </w:r>
      <w:r>
        <w:rPr>
          <w:rStyle w:val="Strong"/>
          <w:rFonts w:eastAsia="Lucida Sans Unicode" w:cs="Arial" w:ascii="Arial" w:hAnsi="Arial"/>
          <w:b/>
          <w:bCs/>
          <w:color w:val="auto"/>
          <w:kern w:val="2"/>
          <w:sz w:val="20"/>
          <w:szCs w:val="20"/>
          <w:u w:val="single"/>
          <w:lang w:val="pt-BR" w:eastAsia="hi-IN" w:bidi="hi-IN"/>
        </w:rPr>
        <w:t>/2024</w:t>
      </w:r>
    </w:p>
    <w:p>
      <w:pPr>
        <w:pStyle w:val="Normal"/>
        <w:bidi w:val="0"/>
        <w:spacing w:lineRule="auto" w:line="240" w:before="0" w:after="0"/>
        <w:ind w:left="0" w:right="0" w:hanging="0"/>
        <w:jc w:val="center"/>
        <w:rPr>
          <w:rFonts w:ascii="Arial" w:hAnsi="Arial" w:cs="Arial"/>
          <w:b/>
          <w:b/>
          <w:bCs/>
          <w:color w:val="5B5B5F"/>
          <w:sz w:val="26"/>
          <w:szCs w:val="26"/>
        </w:rPr>
      </w:pPr>
      <w:r>
        <w:rPr>
          <w:rStyle w:val="Strong"/>
          <w:rFonts w:cs="Arial"/>
          <w:color w:val="auto"/>
          <w:sz w:val="20"/>
          <w:szCs w:val="20"/>
          <w:u w:val="single"/>
        </w:rPr>
        <w:t>PROCESSO ADMINISTRATIVO Nº 039/2024</w:t>
      </w:r>
    </w:p>
    <w:p>
      <w:pPr>
        <w:pStyle w:val="Normal"/>
        <w:bidi w:val="0"/>
        <w:spacing w:lineRule="auto" w:line="240" w:before="0" w:after="0"/>
        <w:ind w:left="0" w:right="0" w:hanging="0"/>
        <w:jc w:val="center"/>
        <w:rPr>
          <w:rFonts w:ascii="Arial" w:hAnsi="Arial" w:cs="Arial"/>
          <w:b/>
          <w:b/>
          <w:bCs/>
          <w:color w:val="5B5B5F"/>
          <w:sz w:val="26"/>
          <w:szCs w:val="26"/>
        </w:rPr>
      </w:pPr>
      <w:r>
        <w:rPr>
          <w:rFonts w:cs="Arial"/>
          <w:b/>
          <w:color w:val="auto"/>
          <w:sz w:val="20"/>
          <w:szCs w:val="20"/>
          <w:u w:val="single"/>
          <w:lang w:eastAsia="hi-IN" w:bidi="hi-IN"/>
        </w:rPr>
        <w:t xml:space="preserve">EDITAL Nº </w:t>
      </w:r>
      <w:r>
        <w:rPr>
          <w:rFonts w:eastAsia="NSimSun" w:cs="Arial"/>
          <w:b/>
          <w:color w:val="auto"/>
          <w:kern w:val="2"/>
          <w:sz w:val="20"/>
          <w:szCs w:val="20"/>
          <w:u w:val="single"/>
          <w:lang w:val="pt-BR" w:eastAsia="hi-IN" w:bidi="hi-IN"/>
        </w:rPr>
        <w:t>029</w:t>
      </w:r>
      <w:r>
        <w:rPr>
          <w:rFonts w:cs="Arial"/>
          <w:b/>
          <w:color w:val="auto"/>
          <w:sz w:val="20"/>
          <w:szCs w:val="20"/>
          <w:u w:val="single"/>
          <w:lang w:eastAsia="hi-IN" w:bidi="hi-IN"/>
        </w:rPr>
        <w:t>/2024</w:t>
      </w:r>
    </w:p>
    <w:p>
      <w:pPr>
        <w:pStyle w:val="Normal"/>
        <w:bidi w:val="0"/>
        <w:spacing w:lineRule="auto" w:line="240" w:before="0" w:after="0"/>
        <w:ind w:left="0" w:right="0" w:hanging="0"/>
        <w:jc w:val="center"/>
        <w:rPr>
          <w:rFonts w:ascii="Arial" w:hAnsi="Arial" w:cs="Arial"/>
          <w:b/>
          <w:b/>
          <w:color w:val="auto"/>
          <w:sz w:val="20"/>
          <w:szCs w:val="20"/>
          <w:u w:val="single"/>
          <w:lang w:eastAsia="hi-IN" w:bidi="hi-IN"/>
        </w:rPr>
      </w:pPr>
      <w:r>
        <w:rPr>
          <w:rFonts w:cs="Arial"/>
          <w:b/>
          <w:color w:val="auto"/>
          <w:sz w:val="20"/>
          <w:szCs w:val="20"/>
          <w:u w:val="single"/>
          <w:lang w:eastAsia="hi-IN" w:bidi="hi-IN"/>
        </w:rPr>
        <w:t>AMPLA PARTICIPAÇÃO</w:t>
      </w:r>
    </w:p>
    <w:p>
      <w:pPr>
        <w:pStyle w:val="Normal"/>
        <w:bidi w:val="0"/>
        <w:spacing w:lineRule="auto" w:line="240" w:before="0" w:after="0"/>
        <w:ind w:left="0" w:right="0" w:hanging="0"/>
        <w:jc w:val="center"/>
        <w:rPr>
          <w:rFonts w:ascii="Arial" w:hAnsi="Arial" w:cs="Arial"/>
          <w:color w:val="auto"/>
          <w:sz w:val="20"/>
          <w:szCs w:val="20"/>
          <w:u w:val="single"/>
          <w:lang w:eastAsia="hi-IN" w:bidi="hi-IN"/>
        </w:rPr>
      </w:pPr>
      <w:r>
        <w:rPr>
          <w:rFonts w:cs="Arial"/>
          <w:color w:val="auto"/>
          <w:sz w:val="20"/>
          <w:szCs w:val="20"/>
          <w:u w:val="single"/>
          <w:lang w:eastAsia="hi-IN" w:bidi="hi-IN"/>
        </w:rPr>
      </w:r>
    </w:p>
    <w:p>
      <w:pPr>
        <w:pStyle w:val="Normal"/>
        <w:bidi w:val="0"/>
        <w:spacing w:lineRule="auto" w:line="240" w:before="0" w:after="0"/>
        <w:ind w:left="0" w:right="0" w:hanging="0"/>
        <w:jc w:val="center"/>
        <w:rPr>
          <w:rFonts w:ascii="Arial" w:hAnsi="Arial" w:cs="Arial"/>
          <w:color w:val="auto"/>
          <w:sz w:val="20"/>
          <w:szCs w:val="20"/>
          <w:u w:val="single"/>
          <w:lang w:eastAsia="hi-IN" w:bidi="hi-IN"/>
        </w:rPr>
      </w:pPr>
      <w:r>
        <w:rPr>
          <w:rFonts w:cs="Arial"/>
          <w:color w:val="auto"/>
          <w:sz w:val="20"/>
          <w:szCs w:val="20"/>
          <w:u w:val="single"/>
          <w:lang w:eastAsia="hi-IN" w:bidi="hi-IN"/>
        </w:rPr>
      </w:r>
    </w:p>
    <w:p>
      <w:pPr>
        <w:pStyle w:val="Normal"/>
        <w:bidi w:val="0"/>
        <w:spacing w:lineRule="auto" w:line="240" w:before="0" w:after="0"/>
        <w:ind w:left="0" w:right="0" w:hanging="0"/>
        <w:jc w:val="center"/>
        <w:rPr>
          <w:rFonts w:ascii="Arial" w:hAnsi="Arial" w:cs="Arial"/>
          <w:color w:val="auto"/>
          <w:sz w:val="20"/>
          <w:szCs w:val="20"/>
          <w:u w:val="single"/>
          <w:lang w:eastAsia="hi-IN" w:bidi="hi-IN"/>
        </w:rPr>
      </w:pPr>
      <w:r>
        <w:rPr>
          <w:rFonts w:cs="Arial"/>
          <w:color w:val="auto"/>
          <w:sz w:val="20"/>
          <w:szCs w:val="20"/>
          <w:u w:val="single"/>
          <w:lang w:eastAsia="hi-IN" w:bidi="hi-IN"/>
        </w:rPr>
      </w:r>
    </w:p>
    <w:p>
      <w:pPr>
        <w:pStyle w:val="Normal"/>
        <w:bidi w:val="0"/>
        <w:spacing w:lineRule="auto" w:line="240" w:before="0" w:after="0"/>
        <w:ind w:left="0" w:right="0" w:hanging="0"/>
        <w:jc w:val="center"/>
        <w:rPr>
          <w:rFonts w:ascii="Arial" w:hAnsi="Arial" w:cs="Arial"/>
          <w:color w:val="auto"/>
          <w:sz w:val="20"/>
          <w:szCs w:val="20"/>
          <w:u w:val="single"/>
          <w:lang w:eastAsia="hi-IN" w:bidi="hi-IN"/>
        </w:rPr>
      </w:pPr>
      <w:r>
        <w:rPr>
          <w:rFonts w:cs="Arial"/>
          <w:color w:val="auto"/>
          <w:sz w:val="20"/>
          <w:szCs w:val="20"/>
          <w:u w:val="single"/>
          <w:lang w:eastAsia="hi-IN" w:bidi="hi-IN"/>
        </w:rPr>
      </w:r>
    </w:p>
    <w:p>
      <w:pPr>
        <w:pStyle w:val="Nivel2"/>
        <w:numPr>
          <w:ilvl w:val="0"/>
          <w:numId w:val="0"/>
        </w:numPr>
        <w:spacing w:lineRule="auto" w:line="240" w:before="0" w:after="0"/>
        <w:ind w:left="0" w:right="0" w:hanging="0"/>
        <w:rPr>
          <w:rFonts w:ascii="Arial" w:hAnsi="Arial" w:cs="Arial"/>
          <w:b/>
          <w:b/>
          <w:bCs/>
          <w:color w:val="5B5B5F"/>
          <w:sz w:val="26"/>
          <w:szCs w:val="26"/>
        </w:rPr>
      </w:pPr>
      <w:r>
        <w:rPr>
          <w:sz w:val="20"/>
          <w:szCs w:val="20"/>
        </w:rPr>
        <w:t>Torna-se público que a</w:t>
      </w:r>
      <w:r>
        <w:rPr>
          <w:rFonts w:cs="Arial"/>
          <w:color w:val="auto"/>
          <w:sz w:val="20"/>
          <w:szCs w:val="20"/>
        </w:rPr>
        <w:t xml:space="preserve"> Prefeitura Municipal da Estância Turística de Paraguaçu Paulista, com sede à Avenida Siqueira Campos, nº 1.430</w:t>
      </w:r>
      <w:r>
        <w:rPr>
          <w:rFonts w:cs="Arial"/>
          <w:color w:val="FF0000"/>
          <w:sz w:val="20"/>
          <w:szCs w:val="20"/>
        </w:rPr>
        <w:t xml:space="preserve">, </w:t>
      </w:r>
      <w:r>
        <w:rPr>
          <w:rFonts w:eastAsia="ＭＳ 明朝" w:cs="Arial"/>
          <w:color w:val="auto"/>
          <w:kern w:val="0"/>
          <w:sz w:val="20"/>
          <w:szCs w:val="20"/>
          <w:lang w:val="pt-BR" w:eastAsia="pt-BR" w:bidi="ar-SA"/>
        </w:rPr>
        <w:t xml:space="preserve">através do </w:t>
      </w:r>
      <w:r>
        <w:rPr>
          <w:rFonts w:cs="Arial"/>
          <w:color w:val="auto"/>
          <w:sz w:val="20"/>
          <w:szCs w:val="20"/>
        </w:rPr>
        <w:t>Departamento de Compras e Licitações, da Prefeitura Municipal</w:t>
      </w:r>
      <w:r>
        <w:rPr>
          <w:sz w:val="20"/>
          <w:szCs w:val="20"/>
        </w:rPr>
        <w:t xml:space="preserve">, realizará licitação, na modalidade </w:t>
      </w:r>
      <w:r>
        <w:rPr>
          <w:b/>
          <w:bCs/>
          <w:sz w:val="20"/>
          <w:szCs w:val="20"/>
        </w:rPr>
        <w:t>CONCORRÊNCIA</w:t>
      </w:r>
      <w:r>
        <w:rPr>
          <w:sz w:val="20"/>
          <w:szCs w:val="20"/>
        </w:rPr>
        <w:t xml:space="preserve">, na forma </w:t>
      </w:r>
      <w:r>
        <w:rPr>
          <w:b/>
          <w:bCs/>
          <w:sz w:val="20"/>
          <w:szCs w:val="20"/>
        </w:rPr>
        <w:t>ELETRÔNICA</w:t>
      </w:r>
      <w:r>
        <w:rPr>
          <w:sz w:val="20"/>
          <w:szCs w:val="20"/>
        </w:rPr>
        <w:t>,</w:t>
      </w:r>
      <w:r>
        <w:rPr>
          <w:rFonts w:eastAsia="Times New Roman"/>
          <w:sz w:val="20"/>
          <w:szCs w:val="20"/>
        </w:rPr>
        <w:t xml:space="preserve"> </w:t>
      </w:r>
      <w:r>
        <w:rPr>
          <w:sz w:val="20"/>
          <w:szCs w:val="20"/>
        </w:rPr>
        <w:t xml:space="preserve">nos termos da </w:t>
      </w:r>
      <w:hyperlink r:id="rId4">
        <w:r>
          <w:rPr>
            <w:rStyle w:val="LinkdaInternet"/>
            <w:color w:val="0000FF"/>
            <w:sz w:val="20"/>
            <w:szCs w:val="20"/>
          </w:rPr>
          <w:t>Lei nº 14.133, de 1º de abril de 2021</w:t>
        </w:r>
      </w:hyperlink>
      <w:r>
        <w:rPr>
          <w:sz w:val="20"/>
          <w:szCs w:val="20"/>
        </w:rPr>
        <w:t xml:space="preserve">, </w:t>
      </w:r>
      <w:r>
        <w:rPr>
          <w:sz w:val="20"/>
          <w:szCs w:val="20"/>
          <w:shd w:fill="FFFFFF" w:val="clear"/>
        </w:rPr>
        <w:t xml:space="preserve">do </w:t>
      </w:r>
      <w:hyperlink r:id="rId5">
        <w:r>
          <w:rPr>
            <w:rStyle w:val="LinkdaInternet"/>
            <w:sz w:val="20"/>
            <w:szCs w:val="20"/>
            <w:shd w:fill="FFFFFF" w:val="clear"/>
          </w:rPr>
          <w:t>Decreto Municipal  nº 7.055, de 28 de março de 2023</w:t>
        </w:r>
      </w:hyperlink>
      <w:r>
        <w:rPr>
          <w:sz w:val="20"/>
          <w:szCs w:val="20"/>
        </w:rPr>
        <w:t>, e demais legislação aplicável e, ainda, de acordo com as condições estabelecidas neste Edital</w:t>
      </w:r>
      <w:r>
        <w:rPr>
          <w:rFonts w:eastAsia="Times New Roman"/>
          <w:sz w:val="20"/>
          <w:szCs w:val="20"/>
        </w:rPr>
        <w:t>.</w:t>
      </w:r>
    </w:p>
    <w:p>
      <w:pPr>
        <w:pStyle w:val="Normal"/>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r>
    </w:p>
    <w:p>
      <w:pPr>
        <w:pStyle w:val="Normal"/>
        <w:bidi w:val="0"/>
        <w:spacing w:lineRule="auto" w:line="240" w:before="0" w:after="0"/>
        <w:ind w:left="0" w:right="0" w:hanging="0"/>
        <w:jc w:val="both"/>
        <w:rPr>
          <w:rFonts w:ascii="Arial" w:hAnsi="Arial" w:cs="Arial"/>
          <w:b/>
          <w:b/>
          <w:bCs/>
          <w:color w:val="5B5B5F"/>
          <w:sz w:val="26"/>
          <w:szCs w:val="26"/>
        </w:rPr>
      </w:pPr>
      <w:r>
        <w:rPr>
          <w:rFonts w:cs="Arial"/>
          <w:b/>
          <w:bCs/>
          <w:color w:val="auto"/>
          <w:sz w:val="20"/>
          <w:szCs w:val="20"/>
        </w:rPr>
        <w:t>Data da sessão: 27/03/2024</w:t>
      </w:r>
    </w:p>
    <w:p>
      <w:pPr>
        <w:pStyle w:val="Normal"/>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r>
    </w:p>
    <w:p>
      <w:pPr>
        <w:pStyle w:val="Normal"/>
        <w:bidi w:val="0"/>
        <w:spacing w:lineRule="auto" w:line="240" w:before="0" w:after="0"/>
        <w:ind w:left="0" w:right="0" w:hanging="0"/>
        <w:jc w:val="both"/>
        <w:rPr>
          <w:rFonts w:ascii="Arial" w:hAnsi="Arial" w:cs="Arial"/>
          <w:b/>
          <w:b/>
          <w:bCs/>
          <w:color w:val="5B5B5F"/>
          <w:sz w:val="26"/>
          <w:szCs w:val="26"/>
        </w:rPr>
      </w:pPr>
      <w:r>
        <w:rPr>
          <w:rFonts w:cs="Arial"/>
          <w:b/>
          <w:bCs/>
          <w:color w:val="auto"/>
          <w:sz w:val="20"/>
          <w:szCs w:val="20"/>
        </w:rPr>
        <w:t xml:space="preserve">Horário: 09:00 horas (horário de Brasília-DF). </w:t>
      </w:r>
    </w:p>
    <w:p>
      <w:pPr>
        <w:pStyle w:val="Normal"/>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r>
    </w:p>
    <w:p>
      <w:pPr>
        <w:pStyle w:val="Normal"/>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t xml:space="preserve">Sistema Eletrônico Utilizado: FIORILLI </w:t>
      </w:r>
    </w:p>
    <w:p>
      <w:pPr>
        <w:pStyle w:val="Normal"/>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r>
    </w:p>
    <w:p>
      <w:pPr>
        <w:pStyle w:val="Normal"/>
        <w:bidi w:val="0"/>
        <w:spacing w:lineRule="auto" w:line="240" w:before="0" w:after="0"/>
        <w:ind w:left="0" w:right="0" w:hanging="0"/>
        <w:jc w:val="both"/>
        <w:rPr>
          <w:rFonts w:ascii="Arial" w:hAnsi="Arial" w:cs="Arial"/>
          <w:b/>
          <w:b/>
          <w:bCs/>
          <w:color w:val="5B5B5F"/>
          <w:sz w:val="26"/>
          <w:szCs w:val="26"/>
        </w:rPr>
      </w:pPr>
      <w:r>
        <w:rPr>
          <w:rFonts w:cs="Arial"/>
          <w:b/>
          <w:bCs/>
          <w:color w:val="auto"/>
          <w:sz w:val="20"/>
          <w:szCs w:val="20"/>
        </w:rPr>
        <w:t xml:space="preserve">Endereço Eletrônico: </w:t>
      </w:r>
      <w:hyperlink r:id="rId6">
        <w:r>
          <w:rPr>
            <w:rStyle w:val="LinkdaInternet"/>
            <w:rFonts w:cs="Arial"/>
            <w:b/>
            <w:bCs/>
            <w:color w:val="0000FF"/>
            <w:sz w:val="20"/>
            <w:szCs w:val="20"/>
          </w:rPr>
          <w:t>http://sistemas.eparaguacu.sp.gov.br:8079/comprasedital/</w:t>
        </w:r>
      </w:hyperlink>
    </w:p>
    <w:p>
      <w:pPr>
        <w:pStyle w:val="Normal"/>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r>
    </w:p>
    <w:p>
      <w:pPr>
        <w:pStyle w:val="Normal"/>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t>Valor estimado total: R$ 1.114.309,67</w:t>
      </w:r>
    </w:p>
    <w:p>
      <w:pPr>
        <w:pStyle w:val="Normal"/>
        <w:bidi w:val="0"/>
        <w:spacing w:lineRule="auto" w:line="240" w:before="0" w:after="0"/>
        <w:ind w:left="0" w:right="0" w:hanging="0"/>
        <w:jc w:val="both"/>
        <w:rPr>
          <w:rFonts w:ascii="Arial" w:hAnsi="Arial" w:cs="Arial"/>
          <w:b/>
          <w:b/>
          <w:bCs/>
          <w:color w:val="000000"/>
          <w:sz w:val="20"/>
          <w:szCs w:val="20"/>
        </w:rPr>
      </w:pPr>
      <w:r>
        <w:rPr>
          <w:rFonts w:cs="Arial"/>
          <w:b/>
          <w:bCs/>
          <w:color w:val="000000"/>
          <w:sz w:val="20"/>
          <w:szCs w:val="20"/>
        </w:rPr>
      </w:r>
    </w:p>
    <w:p>
      <w:pPr>
        <w:pStyle w:val="Normal"/>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t>ORIGEM DOS RECURSOS: Estadual/Municipal, referente Convênio firmado com a Secretária de Governo de Relações Institucionais  - SP, como segue:</w:t>
      </w:r>
    </w:p>
    <w:p>
      <w:pPr>
        <w:pStyle w:val="Normal"/>
        <w:bidi w:val="0"/>
        <w:spacing w:lineRule="auto" w:line="240" w:before="0" w:after="0"/>
        <w:ind w:left="0" w:right="0" w:hanging="0"/>
        <w:jc w:val="both"/>
        <w:rPr>
          <w:rFonts w:ascii="Arial" w:hAnsi="Arial" w:cs="Arial"/>
          <w:b/>
          <w:b/>
          <w:bCs/>
          <w:color w:val="000000"/>
          <w:sz w:val="20"/>
          <w:szCs w:val="20"/>
        </w:rPr>
      </w:pPr>
      <w:r>
        <w:rPr>
          <w:rFonts w:cs="Arial"/>
          <w:b/>
          <w:bCs/>
          <w:color w:val="000000"/>
          <w:sz w:val="20"/>
          <w:szCs w:val="20"/>
        </w:rPr>
      </w:r>
    </w:p>
    <w:tbl>
      <w:tblPr>
        <w:tblW w:w="9120" w:type="dxa"/>
        <w:jc w:val="left"/>
        <w:tblInd w:w="-11" w:type="dxa"/>
        <w:tblLayout w:type="fixed"/>
        <w:tblCellMar>
          <w:top w:w="0" w:type="dxa"/>
          <w:left w:w="10" w:type="dxa"/>
          <w:bottom w:w="0" w:type="dxa"/>
          <w:right w:w="65" w:type="dxa"/>
        </w:tblCellMar>
      </w:tblPr>
      <w:tblGrid>
        <w:gridCol w:w="2715"/>
        <w:gridCol w:w="6404"/>
      </w:tblGrid>
      <w:tr>
        <w:trPr/>
        <w:tc>
          <w:tcPr>
            <w:tcW w:w="2715" w:type="dxa"/>
            <w:tcBorders>
              <w:top w:val="single" w:sz="8" w:space="0" w:color="000001"/>
              <w:left w:val="single" w:sz="8" w:space="0" w:color="000001"/>
              <w:bottom w:val="single" w:sz="8" w:space="0" w:color="000001"/>
            </w:tcBorders>
            <w:shd w:fill="FFFFFF" w:val="clear"/>
          </w:tcPr>
          <w:p>
            <w:pPr>
              <w:pStyle w:val="Standard"/>
              <w:widowControl w:val="false"/>
              <w:snapToGrid w:val="false"/>
              <w:spacing w:lineRule="auto" w:line="240" w:before="0" w:after="0"/>
              <w:ind w:left="0" w:right="0" w:hanging="0"/>
              <w:jc w:val="both"/>
              <w:rPr>
                <w:rFonts w:ascii="Arial" w:hAnsi="Arial" w:cs="Arial"/>
                <w:b/>
                <w:b/>
                <w:bCs/>
                <w:color w:val="5B5B5F"/>
                <w:sz w:val="26"/>
                <w:szCs w:val="26"/>
              </w:rPr>
            </w:pPr>
            <w:r>
              <w:rPr>
                <w:rFonts w:eastAsia="Calibri" w:cs="Arial" w:ascii="Arial" w:hAnsi="Arial"/>
                <w:color w:val="000000"/>
                <w:kern w:val="2"/>
                <w:sz w:val="20"/>
                <w:szCs w:val="20"/>
                <w:lang w:val="pt-BR" w:eastAsia="zh-CN" w:bidi="ar-SA"/>
              </w:rPr>
              <w:t xml:space="preserve">800 </w:t>
            </w:r>
            <w:r>
              <w:rPr>
                <w:rFonts w:cs="Arial" w:ascii="Arial" w:hAnsi="Arial"/>
                <w:color w:val="000000"/>
                <w:sz w:val="20"/>
                <w:szCs w:val="20"/>
              </w:rPr>
              <w:t>4.4.90.51.00</w:t>
            </w:r>
          </w:p>
        </w:tc>
        <w:tc>
          <w:tcPr>
            <w:tcW w:w="6404" w:type="dxa"/>
            <w:tcBorders>
              <w:top w:val="single" w:sz="8" w:space="0" w:color="000001"/>
              <w:left w:val="single" w:sz="4" w:space="0" w:color="000001"/>
              <w:bottom w:val="single" w:sz="8" w:space="0" w:color="000001"/>
              <w:right w:val="single" w:sz="8" w:space="0" w:color="000001"/>
            </w:tcBorders>
            <w:shd w:fill="FFFFFF" w:val="clear"/>
          </w:tcPr>
          <w:p>
            <w:pPr>
              <w:pStyle w:val="Standard"/>
              <w:widowControl w:val="false"/>
              <w:snapToGrid w:val="false"/>
              <w:spacing w:lineRule="auto" w:line="240" w:before="0" w:after="0"/>
              <w:ind w:left="0" w:right="0" w:hanging="0"/>
              <w:jc w:val="both"/>
              <w:rPr>
                <w:rFonts w:ascii="Arial" w:hAnsi="Arial" w:cs="Arial"/>
                <w:b/>
                <w:b/>
                <w:bCs/>
                <w:color w:val="5B5B5F"/>
                <w:sz w:val="26"/>
                <w:szCs w:val="26"/>
              </w:rPr>
            </w:pPr>
            <w:r>
              <w:rPr>
                <w:rFonts w:cs="Arial" w:ascii="Arial" w:hAnsi="Arial"/>
                <w:color w:val="000000"/>
                <w:sz w:val="20"/>
                <w:szCs w:val="20"/>
              </w:rPr>
              <w:t xml:space="preserve">Obras e instalações – </w:t>
            </w:r>
            <w:r>
              <w:rPr>
                <w:rFonts w:eastAsia="Calibri" w:cs="Arial" w:ascii="Arial" w:hAnsi="Arial"/>
                <w:color w:val="000000"/>
                <w:kern w:val="2"/>
                <w:sz w:val="20"/>
                <w:szCs w:val="20"/>
                <w:lang w:val="pt-BR" w:eastAsia="zh-CN" w:bidi="ar-SA"/>
              </w:rPr>
              <w:t>Recurso Estadual – R$ 835.000,00</w:t>
            </w:r>
          </w:p>
        </w:tc>
      </w:tr>
      <w:tr>
        <w:trPr>
          <w:trHeight w:val="281" w:hRule="atLeast"/>
        </w:trPr>
        <w:tc>
          <w:tcPr>
            <w:tcW w:w="2715" w:type="dxa"/>
            <w:tcBorders>
              <w:left w:val="single" w:sz="8" w:space="0" w:color="000001"/>
              <w:bottom w:val="single" w:sz="8" w:space="0" w:color="000001"/>
            </w:tcBorders>
            <w:shd w:fill="FFFFFF" w:val="clear"/>
          </w:tcPr>
          <w:p>
            <w:pPr>
              <w:pStyle w:val="Standard"/>
              <w:widowControl w:val="false"/>
              <w:snapToGrid w:val="false"/>
              <w:spacing w:lineRule="auto" w:line="240" w:before="0" w:after="0"/>
              <w:ind w:left="0" w:right="0" w:hanging="0"/>
              <w:jc w:val="both"/>
              <w:rPr>
                <w:rFonts w:ascii="Arial" w:hAnsi="Arial" w:cs="Arial"/>
                <w:b/>
                <w:b/>
                <w:bCs/>
                <w:color w:val="5B5B5F"/>
                <w:sz w:val="26"/>
                <w:szCs w:val="26"/>
              </w:rPr>
            </w:pPr>
            <w:r>
              <w:rPr>
                <w:rFonts w:eastAsia="Calibri" w:cs="Arial" w:ascii="Arial" w:hAnsi="Arial"/>
                <w:color w:val="000000"/>
                <w:kern w:val="2"/>
                <w:sz w:val="20"/>
                <w:szCs w:val="20"/>
                <w:lang w:val="pt-BR" w:eastAsia="zh-CN" w:bidi="ar-SA"/>
              </w:rPr>
              <w:t>801</w:t>
            </w:r>
            <w:r>
              <w:rPr>
                <w:rFonts w:cs="Arial" w:ascii="Arial" w:hAnsi="Arial"/>
                <w:color w:val="000000"/>
                <w:sz w:val="20"/>
                <w:szCs w:val="20"/>
              </w:rPr>
              <w:t xml:space="preserve"> 4.4.90.51.00</w:t>
            </w:r>
          </w:p>
        </w:tc>
        <w:tc>
          <w:tcPr>
            <w:tcW w:w="6404" w:type="dxa"/>
            <w:tcBorders>
              <w:left w:val="single" w:sz="4" w:space="0" w:color="000001"/>
              <w:bottom w:val="single" w:sz="8" w:space="0" w:color="000001"/>
              <w:right w:val="single" w:sz="8" w:space="0" w:color="000001"/>
            </w:tcBorders>
            <w:shd w:fill="FFFFFF" w:val="clear"/>
          </w:tcPr>
          <w:p>
            <w:pPr>
              <w:pStyle w:val="Standard"/>
              <w:widowControl w:val="false"/>
              <w:snapToGrid w:val="false"/>
              <w:spacing w:lineRule="auto" w:line="240" w:before="0" w:after="0"/>
              <w:ind w:left="0" w:right="0" w:hanging="0"/>
              <w:jc w:val="both"/>
              <w:rPr>
                <w:rFonts w:ascii="Arial" w:hAnsi="Arial" w:cs="Arial"/>
                <w:b/>
                <w:b/>
                <w:bCs/>
                <w:color w:val="5B5B5F"/>
                <w:sz w:val="26"/>
                <w:szCs w:val="26"/>
              </w:rPr>
            </w:pPr>
            <w:r>
              <w:rPr>
                <w:rFonts w:cs="Arial" w:ascii="Arial" w:hAnsi="Arial"/>
                <w:color w:val="000000"/>
                <w:sz w:val="20"/>
                <w:szCs w:val="20"/>
              </w:rPr>
              <w:t xml:space="preserve">Obras e instalações – </w:t>
            </w:r>
            <w:r>
              <w:rPr>
                <w:rFonts w:eastAsia="Calibri" w:cs="Arial" w:ascii="Arial" w:hAnsi="Arial"/>
                <w:color w:val="000000"/>
                <w:kern w:val="2"/>
                <w:sz w:val="20"/>
                <w:szCs w:val="20"/>
                <w:lang w:val="pt-BR" w:eastAsia="zh-CN" w:bidi="ar-SA"/>
              </w:rPr>
              <w:t>Recurso Próprio – R$ 279.309,67</w:t>
            </w:r>
          </w:p>
        </w:tc>
      </w:tr>
    </w:tbl>
    <w:p>
      <w:pPr>
        <w:pStyle w:val="Standard"/>
        <w:widowControl w:val="false"/>
        <w:snapToGrid w:val="false"/>
        <w:spacing w:lineRule="auto" w:line="240" w:before="0" w:after="0"/>
        <w:ind w:left="0" w:right="0" w:hanging="0"/>
        <w:jc w:val="both"/>
        <w:rPr>
          <w:rFonts w:eastAsia="Calibri"/>
          <w:kern w:val="2"/>
          <w:lang w:val="pt-BR" w:eastAsia="zh-CN" w:bidi="ar-SA"/>
        </w:rPr>
      </w:pPr>
      <w:r>
        <w:rPr>
          <w:rFonts w:eastAsia="Calibri"/>
          <w:kern w:val="2"/>
          <w:lang w:val="pt-BR" w:eastAsia="zh-CN" w:bidi="ar-SA"/>
        </w:rPr>
      </w:r>
    </w:p>
    <w:p>
      <w:pPr>
        <w:pStyle w:val="Normal"/>
        <w:bidi w:val="0"/>
        <w:spacing w:lineRule="auto" w:line="240" w:before="0" w:after="0"/>
        <w:ind w:left="0" w:right="0" w:hanging="0"/>
        <w:jc w:val="both"/>
        <w:rPr>
          <w:rFonts w:ascii="Arial" w:hAnsi="Arial" w:cs="Arial"/>
          <w:b/>
          <w:b/>
          <w:bCs/>
          <w:color w:val="5B5B5F"/>
          <w:sz w:val="26"/>
          <w:szCs w:val="26"/>
        </w:rPr>
      </w:pPr>
      <w:r>
        <w:rPr>
          <w:rFonts w:cs="Arial"/>
          <w:b/>
          <w:bCs/>
          <w:color w:val="000000"/>
          <w:sz w:val="20"/>
          <w:szCs w:val="20"/>
        </w:rPr>
        <w:t xml:space="preserve">Participação: </w:t>
      </w:r>
      <w:r>
        <w:rPr>
          <w:rFonts w:eastAsia="Arial" w:cs="Arial"/>
          <w:b/>
          <w:bCs/>
          <w:caps w:val="false"/>
          <w:smallCaps w:val="false"/>
          <w:color w:val="000000"/>
          <w:sz w:val="20"/>
          <w:szCs w:val="20"/>
          <w:shd w:fill="FFFFFF" w:val="clear"/>
        </w:rPr>
        <w:t>AMPLA PARTICIPAÇÃO</w:t>
      </w:r>
    </w:p>
    <w:p>
      <w:pPr>
        <w:pStyle w:val="Normal"/>
        <w:bidi w:val="0"/>
        <w:spacing w:lineRule="auto" w:line="240" w:before="0" w:after="0"/>
        <w:ind w:left="0" w:right="0" w:hanging="0"/>
        <w:jc w:val="both"/>
        <w:rPr>
          <w:rFonts w:ascii="Arial" w:hAnsi="Arial" w:cs="Arial"/>
          <w:b/>
          <w:b/>
          <w:bCs/>
          <w:color w:val="000000"/>
          <w:sz w:val="20"/>
          <w:szCs w:val="20"/>
        </w:rPr>
      </w:pPr>
      <w:r>
        <w:rPr>
          <w:rFonts w:cs="Arial"/>
          <w:b/>
          <w:bCs/>
          <w:color w:val="000000"/>
          <w:sz w:val="20"/>
          <w:szCs w:val="20"/>
        </w:rPr>
      </w:r>
    </w:p>
    <w:p>
      <w:pPr>
        <w:pStyle w:val="Normal"/>
        <w:bidi w:val="0"/>
        <w:spacing w:lineRule="auto" w:line="240" w:before="0" w:after="0"/>
        <w:ind w:left="0" w:right="0" w:hanging="0"/>
        <w:jc w:val="both"/>
        <w:rPr>
          <w:rFonts w:ascii="Arial" w:hAnsi="Arial" w:cs="Arial"/>
          <w:b/>
          <w:b/>
          <w:bCs/>
          <w:color w:val="000000"/>
          <w:sz w:val="20"/>
          <w:szCs w:val="20"/>
        </w:rPr>
      </w:pPr>
      <w:r>
        <w:rPr>
          <w:rFonts w:cs="Arial"/>
          <w:b/>
          <w:bCs/>
          <w:color w:val="000000"/>
          <w:sz w:val="20"/>
          <w:szCs w:val="20"/>
        </w:rPr>
        <w:t xml:space="preserve">Modelo de disputa: Aberto </w:t>
      </w:r>
    </w:p>
    <w:p>
      <w:pPr>
        <w:pStyle w:val="Normal"/>
        <w:bidi w:val="0"/>
        <w:spacing w:lineRule="auto" w:line="240" w:before="0" w:after="0"/>
        <w:ind w:left="0" w:right="0" w:hanging="0"/>
        <w:jc w:val="both"/>
        <w:rPr>
          <w:rFonts w:ascii="Arial" w:hAnsi="Arial" w:cs="Arial"/>
          <w:b/>
          <w:b/>
          <w:bCs/>
          <w:color w:val="000000"/>
          <w:sz w:val="20"/>
          <w:szCs w:val="20"/>
        </w:rPr>
      </w:pPr>
      <w:r>
        <w:rPr>
          <w:rFonts w:cs="Arial"/>
          <w:b/>
          <w:bCs/>
          <w:color w:val="000000"/>
          <w:sz w:val="20"/>
          <w:szCs w:val="20"/>
        </w:rPr>
      </w:r>
    </w:p>
    <w:p>
      <w:pPr>
        <w:pStyle w:val="Normal"/>
        <w:bidi w:val="0"/>
        <w:spacing w:lineRule="auto" w:line="240" w:before="0" w:after="0"/>
        <w:ind w:left="0" w:right="0" w:hanging="0"/>
        <w:jc w:val="both"/>
        <w:rPr>
          <w:rFonts w:ascii="Arial" w:hAnsi="Arial" w:cs="Arial"/>
          <w:b/>
          <w:b/>
          <w:bCs/>
          <w:color w:val="000000"/>
          <w:sz w:val="20"/>
          <w:szCs w:val="20"/>
        </w:rPr>
      </w:pPr>
      <w:r>
        <w:rPr>
          <w:rFonts w:cs="Arial"/>
          <w:b/>
          <w:bCs/>
          <w:color w:val="000000"/>
          <w:sz w:val="20"/>
          <w:szCs w:val="20"/>
        </w:rPr>
        <w:t>Critério de julgamento: Menor preço</w:t>
      </w:r>
    </w:p>
    <w:p>
      <w:pPr>
        <w:pStyle w:val="Normal"/>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r>
    </w:p>
    <w:p>
      <w:pPr>
        <w:pStyle w:val="Normal"/>
        <w:bidi w:val="0"/>
        <w:spacing w:lineRule="auto" w:line="240" w:before="0" w:after="0"/>
        <w:ind w:left="0" w:right="0" w:hanging="0"/>
        <w:jc w:val="both"/>
        <w:rPr>
          <w:rFonts w:ascii="Arial" w:hAnsi="Arial" w:cs="Arial"/>
          <w:b/>
          <w:b/>
          <w:bCs/>
          <w:color w:val="5B5B5F"/>
          <w:sz w:val="26"/>
          <w:szCs w:val="26"/>
        </w:rPr>
      </w:pPr>
      <w:r>
        <w:rPr>
          <w:rFonts w:cs="Arial"/>
          <w:b/>
          <w:bCs/>
          <w:color w:val="auto"/>
          <w:sz w:val="20"/>
          <w:szCs w:val="20"/>
        </w:rPr>
        <w:t xml:space="preserve">Endereço para retirada do Edital: </w:t>
      </w:r>
      <w:hyperlink r:id="rId7">
        <w:r>
          <w:rPr>
            <w:rStyle w:val="LinkdaInternet"/>
            <w:rFonts w:cs="Arial"/>
            <w:b/>
            <w:bCs/>
            <w:sz w:val="20"/>
            <w:szCs w:val="20"/>
          </w:rPr>
          <w:t>http://eparaguacu.sp.gov.br</w:t>
        </w:r>
      </w:hyperlink>
      <w:r>
        <w:rPr>
          <w:rFonts w:cs="Arial"/>
          <w:b/>
          <w:bCs/>
          <w:color w:val="auto"/>
          <w:sz w:val="20"/>
          <w:szCs w:val="20"/>
        </w:rPr>
        <w:tab/>
      </w:r>
    </w:p>
    <w:p>
      <w:pPr>
        <w:pStyle w:val="Nivel2"/>
        <w:numPr>
          <w:ilvl w:val="0"/>
          <w:numId w:val="0"/>
        </w:numPr>
        <w:spacing w:lineRule="auto" w:line="240" w:before="0" w:after="0"/>
        <w:ind w:left="0" w:right="0" w:hanging="0"/>
        <w:rPr>
          <w:rFonts w:ascii="Arial" w:hAnsi="Arial" w:eastAsia="Times New Roman"/>
          <w:sz w:val="20"/>
          <w:szCs w:val="20"/>
        </w:rPr>
      </w:pPr>
      <w:r>
        <w:rPr>
          <w:rFonts w:eastAsia="Times New Roman"/>
          <w:sz w:val="20"/>
          <w:szCs w:val="20"/>
        </w:rPr>
      </w:r>
    </w:p>
    <w:p>
      <w:pPr>
        <w:pStyle w:val="Nivel2"/>
        <w:widowControl/>
        <w:numPr>
          <w:ilvl w:val="0"/>
          <w:numId w:val="0"/>
        </w:numPr>
        <w:suppressAutoHyphens w:val="true"/>
        <w:overflowPunct w:val="true"/>
        <w:bidi w:val="0"/>
        <w:spacing w:lineRule="auto" w:line="240" w:before="0" w:after="0"/>
        <w:ind w:left="0" w:right="0" w:hanging="0"/>
        <w:jc w:val="both"/>
        <w:rPr>
          <w:rFonts w:ascii="Arial" w:hAnsi="Arial"/>
          <w:sz w:val="20"/>
          <w:szCs w:val="20"/>
        </w:rPr>
      </w:pPr>
      <w:r>
        <w:rPr>
          <w:rFonts w:eastAsia="Times New Roman"/>
          <w:sz w:val="20"/>
          <w:szCs w:val="20"/>
        </w:rPr>
        <w:t>A licitação será dirigida pelo Agente</w:t>
      </w:r>
      <w:r>
        <w:rPr>
          <w:rFonts w:eastAsia="Times New Roman" w:cs="Arial"/>
          <w:color w:val="000000"/>
          <w:kern w:val="0"/>
          <w:sz w:val="20"/>
          <w:szCs w:val="20"/>
          <w:lang w:val="pt-BR" w:eastAsia="pt-BR" w:bidi="ar-SA"/>
        </w:rPr>
        <w:t xml:space="preserve"> de Contratação </w:t>
      </w:r>
      <w:r>
        <w:rPr>
          <w:rFonts w:eastAsia="Times New Roman"/>
          <w:sz w:val="20"/>
          <w:szCs w:val="20"/>
        </w:rPr>
        <w:t>oficial da Prefeitura Municipal, auxiliada pelas equipes de apoio designadas pela Portaria nº 24.400 de 09 de janeiro de 2.024.</w:t>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ind w:left="0" w:right="0" w:hanging="0"/>
        <w:rPr>
          <w:rFonts w:ascii="Arial" w:hAnsi="Arial"/>
          <w:sz w:val="20"/>
          <w:szCs w:val="20"/>
          <w:lang w:eastAsia="en-US"/>
        </w:rPr>
      </w:pPr>
      <w:bookmarkStart w:id="0" w:name="_Toc135469223"/>
      <w:r>
        <w:rPr>
          <w:sz w:val="20"/>
          <w:szCs w:val="20"/>
          <w:lang w:eastAsia="en-US"/>
        </w:rPr>
        <w:t>DO OBJETO</w:t>
      </w:r>
      <w:bookmarkEnd w:id="0"/>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O objeto da presente licitação é a prestação do serviço de </w:t>
      </w:r>
      <w:r>
        <w:rPr>
          <w:rStyle w:val="Strong"/>
          <w:rFonts w:eastAsia="NSimSun" w:cs="Arial"/>
          <w:b/>
          <w:bCs/>
          <w:caps/>
          <w:color w:val="000000"/>
          <w:kern w:val="2"/>
          <w:sz w:val="20"/>
          <w:szCs w:val="20"/>
          <w:shd w:fill="FFFFFF" w:val="clear"/>
          <w:lang w:val="pt-BR" w:eastAsia="zh-CN" w:bidi="hi-IN"/>
        </w:rPr>
        <w:t xml:space="preserve">Contratação de empresa,  para Construção de Unidade de Saúde no C.H. Dona Lina Leuzzi., </w:t>
      </w:r>
      <w:r>
        <w:rPr>
          <w:sz w:val="20"/>
          <w:szCs w:val="20"/>
        </w:rPr>
        <w:t>conforme condições, quantidades e exigências estabelecidas neste Edital e seus anexos.</w:t>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ind w:left="0" w:right="0" w:hanging="0"/>
        <w:rPr>
          <w:rFonts w:ascii="Arial" w:hAnsi="Arial" w:cs="Arial"/>
          <w:b/>
          <w:b/>
          <w:bCs/>
          <w:color w:val="5B5B5F"/>
          <w:sz w:val="26"/>
          <w:szCs w:val="26"/>
        </w:rPr>
      </w:pPr>
      <w:bookmarkStart w:id="1" w:name="_Toc135469225"/>
      <w:r>
        <w:rPr>
          <w:sz w:val="20"/>
          <w:szCs w:val="20"/>
        </w:rPr>
        <w:t>DA PARTICIPAÇÃO NA LICITAÇÃO</w:t>
      </w:r>
      <w:bookmarkEnd w:id="1"/>
    </w:p>
    <w:p>
      <w:pPr>
        <w:pStyle w:val="Normal"/>
        <w:widowControl/>
        <w:numPr>
          <w:ilvl w:val="1"/>
          <w:numId w:val="1"/>
        </w:numPr>
        <w:suppressAutoHyphens w:val="true"/>
        <w:overflowPunct w:val="true"/>
        <w:bidi w:val="0"/>
        <w:spacing w:lineRule="auto" w:line="240" w:before="0" w:after="0"/>
        <w:ind w:left="0" w:right="0" w:firstLine="567"/>
        <w:jc w:val="left"/>
        <w:rPr>
          <w:rFonts w:ascii="Arial" w:hAnsi="Arial" w:cs="Arial"/>
          <w:color w:val="auto"/>
          <w:kern w:val="0"/>
          <w:sz w:val="20"/>
          <w:szCs w:val="20"/>
          <w:lang w:val="pt-BR" w:eastAsia="pt-BR" w:bidi="ar-SA"/>
        </w:rPr>
      </w:pPr>
      <w:r>
        <w:rPr>
          <w:rFonts w:cs="Arial"/>
          <w:color w:val="auto"/>
          <w:kern w:val="0"/>
          <w:sz w:val="20"/>
          <w:szCs w:val="20"/>
          <w:lang w:val="pt-BR" w:eastAsia="pt-BR" w:bidi="ar-SA"/>
        </w:rPr>
        <w:t>Poderão participar deste concorrência  interessados cujo ramo de atividade seja compatível com o objeto desta licitação.</w:t>
      </w:r>
    </w:p>
    <w:p>
      <w:pPr>
        <w:pStyle w:val="Normal"/>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color w:val="000000"/>
          <w:sz w:val="20"/>
          <w:szCs w:val="20"/>
        </w:rPr>
        <w:t xml:space="preserve">O cadastro no sistema será efetuado no endereço </w:t>
      </w:r>
      <w:hyperlink r:id="rId8">
        <w:r>
          <w:rPr>
            <w:rStyle w:val="LinkdaInternet"/>
            <w:rFonts w:cs="Arial"/>
            <w:b/>
            <w:bCs/>
            <w:sz w:val="20"/>
            <w:szCs w:val="20"/>
          </w:rPr>
          <w:t>http://sistemas.eparaguacu.sp.gov.br:8079/comprasedital/</w:t>
        </w:r>
      </w:hyperlink>
      <w:r>
        <w:rPr>
          <w:color w:val="000000"/>
          <w:sz w:val="20"/>
          <w:szCs w:val="20"/>
        </w:rPr>
        <w:t>, na opção SOLICITAR CHAVE DE ACESSO, no canto direito da tela.</w:t>
      </w:r>
    </w:p>
    <w:p>
      <w:pPr>
        <w:pStyle w:val="Normal"/>
        <w:widowControl/>
        <w:numPr>
          <w:ilvl w:val="1"/>
          <w:numId w:val="1"/>
        </w:numPr>
        <w:suppressAutoHyphens w:val="true"/>
        <w:overflowPunct w:val="true"/>
        <w:bidi w:val="0"/>
        <w:spacing w:lineRule="auto" w:line="240" w:before="0" w:after="0"/>
        <w:ind w:left="0" w:right="0" w:firstLine="567"/>
        <w:jc w:val="both"/>
        <w:rPr>
          <w:rFonts w:ascii="Arial" w:hAnsi="Arial"/>
          <w:color w:val="000000"/>
          <w:sz w:val="20"/>
          <w:szCs w:val="20"/>
        </w:rPr>
      </w:pPr>
      <w:r>
        <w:rPr>
          <w:color w:val="000000"/>
          <w:sz w:val="20"/>
          <w:szCs w:val="20"/>
        </w:rPr>
        <w:t>Após encaminhar a solicitação, será enviada por e-mail a chave de identificação e a senha. O cadastro será feito apenas uma vez.</w:t>
      </w:r>
    </w:p>
    <w:p>
      <w:pPr>
        <w:pStyle w:val="Normal"/>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color w:val="000000"/>
          <w:sz w:val="20"/>
          <w:szCs w:val="20"/>
        </w:rPr>
        <w:t xml:space="preserve">O manual do fornecedor, desenvolvido para auxiliar na operação do Portal de Compras, está disponível para download em formato pdf no endereço </w:t>
      </w:r>
      <w:hyperlink r:id="rId9">
        <w:r>
          <w:rPr>
            <w:rStyle w:val="LinkdaInternet"/>
            <w:sz w:val="20"/>
            <w:szCs w:val="20"/>
          </w:rPr>
          <w:t>https://eparaguacu.sp.gov.br/public/admin/globalarq/uploads/files/Manual%20do%20Fornecedor.pdf</w:t>
        </w:r>
      </w:hyperlink>
      <w:r>
        <w:rPr>
          <w:color w:val="000000"/>
          <w:sz w:val="20"/>
          <w:szCs w:val="20"/>
        </w:rPr>
        <w:t>.</w:t>
      </w:r>
    </w:p>
    <w:p>
      <w:pPr>
        <w:pStyle w:val="Normal"/>
        <w:widowControl/>
        <w:numPr>
          <w:ilvl w:val="1"/>
          <w:numId w:val="1"/>
        </w:numPr>
        <w:suppressAutoHyphens w:val="true"/>
        <w:overflowPunct w:val="true"/>
        <w:bidi w:val="0"/>
        <w:spacing w:lineRule="auto" w:line="240" w:before="0" w:after="0"/>
        <w:ind w:left="0" w:right="0" w:firstLine="567"/>
        <w:jc w:val="both"/>
        <w:rPr>
          <w:rFonts w:ascii="Arial" w:hAnsi="Arial"/>
          <w:color w:val="000000"/>
          <w:sz w:val="20"/>
          <w:szCs w:val="20"/>
        </w:rPr>
      </w:pPr>
      <w:r>
        <w:rPr>
          <w:color w:val="000000"/>
          <w:sz w:val="20"/>
          <w:szCs w:val="20"/>
        </w:rPr>
        <w:t>O credenciamento junto ao provedor do sistema implica a responsabilidade da licitante ou de seu representante legal e a presunção de sua capacidade para realização das transações inerentes a esta Concorrência.</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A não observância do disposto no item anterior poderá ensejar desclassificação no momento da habilitação.</w:t>
      </w:r>
      <w:r>
        <w:rPr/>
        <w:commentReference w:id="0"/>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color w:val="auto"/>
          <w:sz w:val="20"/>
          <w:szCs w:val="20"/>
        </w:rPr>
        <w:t>Será concedido tratamento favorecido para as microempresas e empresas de pequeno porte,</w:t>
      </w:r>
      <w:r>
        <w:rPr>
          <w:color w:val="000000"/>
          <w:sz w:val="20"/>
          <w:szCs w:val="20"/>
        </w:rPr>
        <w:t xml:space="preserve"> </w:t>
      </w:r>
      <w:commentRangeStart w:id="1"/>
      <w:r>
        <w:rPr>
          <w:color w:val="000000"/>
          <w:sz w:val="20"/>
          <w:szCs w:val="20"/>
        </w:rPr>
        <w:t xml:space="preserve">para as sociedades cooperativas </w:t>
      </w:r>
      <w:r>
        <w:rPr>
          <w:rFonts w:eastAsia="Times New Roman"/>
          <w:color w:val="000000"/>
          <w:sz w:val="20"/>
          <w:szCs w:val="20"/>
        </w:rPr>
        <w:t>mencionadas no</w:t>
      </w:r>
      <w:r>
        <w:rPr>
          <w:rFonts w:eastAsia="Times New Roman"/>
          <w:color w:val="FF0000"/>
          <w:sz w:val="20"/>
          <w:szCs w:val="20"/>
        </w:rPr>
        <w:t xml:space="preserve"> </w:t>
      </w:r>
      <w:r>
        <w:fldChar w:fldCharType="begin"/>
      </w:r>
      <w:r>
        <w:rPr>
          <w:rStyle w:val="LinkdaInternet"/>
          <w:sz w:val="20"/>
          <w:szCs w:val="20"/>
          <w:rFonts w:eastAsia="Times New Roman"/>
        </w:rPr>
        <w:instrText> HYPERLINK "http://www.planalto.gov.br/ccivil_03/_ato2019-2022/2021/lei/L14133.htm" \l "art16"</w:instrText>
      </w:r>
      <w:r>
        <w:rPr>
          <w:rStyle w:val="LinkdaInternet"/>
          <w:sz w:val="20"/>
          <w:szCs w:val="20"/>
          <w:rFonts w:eastAsia="Times New Roman"/>
        </w:rPr>
        <w:fldChar w:fldCharType="separate"/>
      </w:r>
      <w:r>
        <w:rPr>
          <w:rStyle w:val="LinkdaInternet"/>
          <w:rFonts w:eastAsia="Times New Roman"/>
          <w:sz w:val="20"/>
          <w:szCs w:val="20"/>
        </w:rPr>
        <w:t xml:space="preserve">artigo </w:t>
      </w:r>
      <w:r>
        <w:rPr>
          <w:rStyle w:val="LinkdaInternet"/>
          <w:sz w:val="20"/>
          <w:szCs w:val="20"/>
          <w:rFonts w:eastAsia="Times New Roman"/>
        </w:rPr>
        <w:fldChar w:fldCharType="end"/>
      </w:r>
      <w:r>
        <w:rPr>
          <w:rStyle w:val="LinkdaInternet"/>
          <w:sz w:val="20"/>
          <w:szCs w:val="20"/>
        </w:rPr>
        <w:t>16 da Lei nº 14.133, de 2021</w:t>
      </w:r>
      <w:r>
        <w:rPr>
          <w:rStyle w:val="LinkdaInternet"/>
          <w:sz w:val="20"/>
          <w:szCs w:val="20"/>
        </w:rPr>
      </w:r>
      <w:commentRangeEnd w:id="1"/>
      <w:r>
        <w:commentReference w:id="1"/>
      </w:r>
      <w:r>
        <w:rPr>
          <w:color w:val="auto"/>
          <w:sz w:val="20"/>
          <w:szCs w:val="20"/>
        </w:rPr>
        <w:t xml:space="preserve">, para o agricultor familiar, o produtor rural pessoa física e para o microempreendedor individual - MEI, nos limites previstos da </w:t>
      </w:r>
      <w:hyperlink r:id="rId10">
        <w:r>
          <w:rPr>
            <w:rStyle w:val="LinkdaInternet"/>
            <w:sz w:val="20"/>
            <w:szCs w:val="20"/>
          </w:rPr>
          <w:t>Lei Complementar nº 123, de 2006</w:t>
        </w:r>
      </w:hyperlink>
      <w:r>
        <w:rPr>
          <w:color w:val="auto"/>
          <w:sz w:val="20"/>
          <w:szCs w:val="20"/>
        </w:rPr>
        <w:t xml:space="preserve"> e do Decreto n.º 8.538, de 2015.</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bookmarkStart w:id="2" w:name="_Ref117000692"/>
      <w:r>
        <w:rPr>
          <w:sz w:val="20"/>
          <w:szCs w:val="20"/>
        </w:rPr>
        <w:t>Não poderão disputar esta licitação:</w:t>
      </w:r>
      <w:bookmarkEnd w:id="2"/>
    </w:p>
    <w:p>
      <w:pPr>
        <w:pStyle w:val="Nivel3"/>
        <w:widowControl/>
        <w:numPr>
          <w:ilvl w:val="2"/>
          <w:numId w:val="1"/>
        </w:numPr>
        <w:tabs>
          <w:tab w:val="left" w:pos="1133" w:leader="none"/>
        </w:tabs>
        <w:suppressAutoHyphens w:val="true"/>
        <w:overflowPunct w:val="true"/>
        <w:bidi w:val="0"/>
        <w:spacing w:lineRule="auto" w:line="240" w:before="0" w:after="0"/>
        <w:ind w:left="0" w:right="0" w:firstLine="1134"/>
        <w:jc w:val="both"/>
        <w:rPr>
          <w:rFonts w:ascii="Arial" w:hAnsi="Arial"/>
          <w:sz w:val="20"/>
          <w:szCs w:val="20"/>
        </w:rPr>
      </w:pPr>
      <w:r>
        <w:rPr>
          <w:sz w:val="20"/>
          <w:szCs w:val="20"/>
        </w:rPr>
        <w:t>aquele que não atenda às condições deste Edital e seu(s) anexo(s);</w:t>
      </w:r>
    </w:p>
    <w:p>
      <w:pPr>
        <w:pStyle w:val="Nivel3"/>
        <w:widowControl/>
        <w:numPr>
          <w:ilvl w:val="2"/>
          <w:numId w:val="1"/>
        </w:numPr>
        <w:tabs>
          <w:tab w:val="left" w:pos="1133" w:leader="none"/>
        </w:tabs>
        <w:suppressAutoHyphens w:val="true"/>
        <w:overflowPunct w:val="true"/>
        <w:bidi w:val="0"/>
        <w:spacing w:lineRule="auto" w:line="240" w:before="0" w:after="0"/>
        <w:ind w:left="0" w:right="0" w:firstLine="1134"/>
        <w:jc w:val="both"/>
        <w:rPr>
          <w:rFonts w:ascii="Arial" w:hAnsi="Arial"/>
          <w:sz w:val="20"/>
          <w:szCs w:val="20"/>
        </w:rPr>
      </w:pPr>
      <w:bookmarkStart w:id="3" w:name="_Ref113883338"/>
      <w:bookmarkStart w:id="4" w:name="_Ref114659912"/>
      <w:r>
        <w:rPr>
          <w:sz w:val="20"/>
          <w:szCs w:val="20"/>
        </w:rPr>
        <w:t>autor do anteprojeto, do projeto básico ou do projeto executivo, pessoa física ou jurídica, quando a licitação versar sobre serviços ou fornecimento de bens a ele relacionados;</w:t>
      </w:r>
      <w:bookmarkEnd w:id="3"/>
      <w:bookmarkEnd w:id="4"/>
    </w:p>
    <w:p>
      <w:pPr>
        <w:pStyle w:val="Nivel3"/>
        <w:widowControl/>
        <w:numPr>
          <w:ilvl w:val="2"/>
          <w:numId w:val="1"/>
        </w:numPr>
        <w:tabs>
          <w:tab w:val="left" w:pos="1133" w:leader="none"/>
        </w:tabs>
        <w:suppressAutoHyphens w:val="true"/>
        <w:overflowPunct w:val="true"/>
        <w:bidi w:val="0"/>
        <w:spacing w:lineRule="auto" w:line="240" w:before="0" w:after="0"/>
        <w:ind w:left="0" w:right="0" w:firstLine="1134"/>
        <w:jc w:val="both"/>
        <w:rPr>
          <w:rFonts w:ascii="Arial" w:hAnsi="Arial" w:cs="Arial"/>
          <w:b/>
          <w:b/>
          <w:bCs/>
          <w:color w:val="5B5B5F"/>
          <w:sz w:val="26"/>
          <w:szCs w:val="26"/>
        </w:rPr>
      </w:pPr>
      <w:bookmarkStart w:id="5" w:name="_Ref113883339"/>
      <w:bookmarkStart w:id="6" w:name="_Ref114659913"/>
      <w:r>
        <w:rPr>
          <w:sz w:val="20"/>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6"/>
      <w:r>
        <w:rPr>
          <w:sz w:val="20"/>
          <w:szCs w:val="20"/>
        </w:rPr>
        <w:t xml:space="preserve"> </w:t>
      </w:r>
      <w:bookmarkEnd w:id="5"/>
    </w:p>
    <w:p>
      <w:pPr>
        <w:pStyle w:val="Nivel3"/>
        <w:widowControl/>
        <w:numPr>
          <w:ilvl w:val="2"/>
          <w:numId w:val="1"/>
        </w:numPr>
        <w:tabs>
          <w:tab w:val="left" w:pos="1133" w:leader="none"/>
        </w:tabs>
        <w:suppressAutoHyphens w:val="true"/>
        <w:overflowPunct w:val="true"/>
        <w:bidi w:val="0"/>
        <w:spacing w:lineRule="auto" w:line="240" w:before="0" w:after="0"/>
        <w:ind w:left="0" w:right="0" w:firstLine="1134"/>
        <w:jc w:val="both"/>
        <w:rPr>
          <w:rFonts w:ascii="Arial" w:hAnsi="Arial"/>
          <w:sz w:val="20"/>
          <w:szCs w:val="20"/>
        </w:rPr>
      </w:pPr>
      <w:bookmarkStart w:id="7" w:name="_Ref113883003"/>
      <w:r>
        <w:rPr>
          <w:sz w:val="20"/>
          <w:szCs w:val="20"/>
        </w:rPr>
        <w:t>pessoa física ou jurídica que se encontre, ao tempo da licitação, impossibilitada de participar da licitação em decorrência de sanção que lhe foi imposta;</w:t>
      </w:r>
      <w:bookmarkEnd w:id="7"/>
    </w:p>
    <w:p>
      <w:pPr>
        <w:pStyle w:val="Nivel3"/>
        <w:widowControl/>
        <w:numPr>
          <w:ilvl w:val="2"/>
          <w:numId w:val="1"/>
        </w:numPr>
        <w:tabs>
          <w:tab w:val="left" w:pos="1133" w:leader="none"/>
        </w:tabs>
        <w:suppressAutoHyphens w:val="true"/>
        <w:overflowPunct w:val="true"/>
        <w:bidi w:val="0"/>
        <w:spacing w:lineRule="auto" w:line="240" w:before="0" w:after="0"/>
        <w:ind w:left="0" w:right="0" w:firstLine="1134"/>
        <w:jc w:val="both"/>
        <w:rPr>
          <w:rFonts w:ascii="Arial" w:hAnsi="Arial"/>
          <w:sz w:val="20"/>
          <w:szCs w:val="20"/>
        </w:rPr>
      </w:pPr>
      <w:r>
        <w:rPr>
          <w:sz w:val="20"/>
          <w:szCs w:val="20"/>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pPr>
        <w:pStyle w:val="Nivel3"/>
        <w:widowControl/>
        <w:numPr>
          <w:ilvl w:val="2"/>
          <w:numId w:val="1"/>
        </w:numPr>
        <w:tabs>
          <w:tab w:val="left" w:pos="1133" w:leader="none"/>
        </w:tabs>
        <w:suppressAutoHyphens w:val="true"/>
        <w:overflowPunct w:val="true"/>
        <w:bidi w:val="0"/>
        <w:spacing w:lineRule="auto" w:line="240" w:before="0" w:after="0"/>
        <w:ind w:left="0" w:right="0" w:firstLine="1134"/>
        <w:jc w:val="both"/>
        <w:rPr>
          <w:rFonts w:ascii="Arial" w:hAnsi="Arial"/>
          <w:sz w:val="20"/>
          <w:szCs w:val="20"/>
        </w:rPr>
      </w:pPr>
      <w:bookmarkStart w:id="8" w:name="_Ref113883579"/>
      <w:r>
        <w:rPr>
          <w:sz w:val="20"/>
          <w:szCs w:val="20"/>
        </w:rPr>
        <w:t>empresas controladoras, controladas ou coligadas, nos termos da Lei nº 6.404, de 15 de dezembro de 1976, concorrendo entre si;</w:t>
      </w:r>
      <w:bookmarkEnd w:id="8"/>
    </w:p>
    <w:p>
      <w:pPr>
        <w:pStyle w:val="Nivel3"/>
        <w:widowControl/>
        <w:numPr>
          <w:ilvl w:val="2"/>
          <w:numId w:val="1"/>
        </w:numPr>
        <w:tabs>
          <w:tab w:val="left" w:pos="1133" w:leader="none"/>
        </w:tabs>
        <w:suppressAutoHyphens w:val="true"/>
        <w:overflowPunct w:val="true"/>
        <w:bidi w:val="0"/>
        <w:spacing w:lineRule="auto" w:line="240" w:before="0" w:after="0"/>
        <w:ind w:left="0" w:right="0" w:firstLine="1134"/>
        <w:jc w:val="both"/>
        <w:rPr>
          <w:rFonts w:ascii="Arial" w:hAnsi="Arial"/>
          <w:sz w:val="20"/>
          <w:szCs w:val="20"/>
        </w:rPr>
      </w:pPr>
      <w:r>
        <w:rPr>
          <w:sz w:val="20"/>
          <w:szCs w:val="20"/>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pPr>
        <w:pStyle w:val="Nivel3"/>
        <w:widowControl/>
        <w:numPr>
          <w:ilvl w:val="2"/>
          <w:numId w:val="1"/>
        </w:numPr>
        <w:tabs>
          <w:tab w:val="left" w:pos="1133" w:leader="none"/>
        </w:tabs>
        <w:suppressAutoHyphens w:val="true"/>
        <w:overflowPunct w:val="true"/>
        <w:bidi w:val="0"/>
        <w:spacing w:lineRule="auto" w:line="240" w:before="0" w:after="0"/>
        <w:ind w:left="0" w:right="0" w:firstLine="1134"/>
        <w:jc w:val="both"/>
        <w:rPr>
          <w:rFonts w:ascii="Arial" w:hAnsi="Arial"/>
          <w:sz w:val="20"/>
          <w:szCs w:val="20"/>
        </w:rPr>
      </w:pPr>
      <w:bookmarkStart w:id="9" w:name="_Ref113962336"/>
      <w:r>
        <w:rPr>
          <w:sz w:val="20"/>
          <w:szCs w:val="20"/>
        </w:rPr>
        <w:t>agente público do órgão ou entidade licitante;</w:t>
      </w:r>
      <w:bookmarkEnd w:id="9"/>
    </w:p>
    <w:p>
      <w:pPr>
        <w:pStyle w:val="Nvel3R"/>
        <w:widowControl/>
        <w:numPr>
          <w:ilvl w:val="2"/>
          <w:numId w:val="1"/>
        </w:numPr>
        <w:tabs>
          <w:tab w:val="left" w:pos="1133" w:leader="none"/>
        </w:tabs>
        <w:suppressAutoHyphens w:val="true"/>
        <w:overflowPunct w:val="true"/>
        <w:bidi w:val="0"/>
        <w:spacing w:lineRule="auto" w:line="240" w:before="0" w:after="0"/>
        <w:ind w:left="0" w:right="0" w:firstLine="1134"/>
        <w:jc w:val="both"/>
        <w:rPr>
          <w:rFonts w:ascii="Arial" w:hAnsi="Arial" w:cs="Arial"/>
          <w:b/>
          <w:b/>
          <w:bCs/>
          <w:color w:val="5B5B5F"/>
          <w:sz w:val="26"/>
          <w:szCs w:val="26"/>
        </w:rPr>
      </w:pPr>
      <w:commentRangeStart w:id="2"/>
      <w:r>
        <w:rPr>
          <w:color w:val="000000"/>
          <w:sz w:val="20"/>
          <w:szCs w:val="20"/>
        </w:rPr>
        <w:t>pessoas jurídicas reunidas em consórcio;</w:t>
      </w:r>
      <w:commentRangeEnd w:id="2"/>
      <w:r>
        <w:commentReference w:id="2"/>
      </w:r>
      <w:r>
        <w:rPr>
          <w:color w:val="000000"/>
          <w:sz w:val="20"/>
          <w:szCs w:val="20"/>
        </w:rPr>
      </w:r>
    </w:p>
    <w:p>
      <w:pPr>
        <w:pStyle w:val="Nivel3"/>
        <w:widowControl/>
        <w:numPr>
          <w:ilvl w:val="2"/>
          <w:numId w:val="1"/>
        </w:numPr>
        <w:tabs>
          <w:tab w:val="left" w:pos="1133" w:leader="none"/>
        </w:tabs>
        <w:suppressAutoHyphens w:val="true"/>
        <w:overflowPunct w:val="true"/>
        <w:bidi w:val="0"/>
        <w:spacing w:lineRule="auto" w:line="240" w:before="0" w:after="0"/>
        <w:ind w:left="0" w:right="0" w:firstLine="1134"/>
        <w:jc w:val="both"/>
        <w:rPr>
          <w:rFonts w:ascii="Arial" w:hAnsi="Arial"/>
          <w:sz w:val="20"/>
          <w:szCs w:val="20"/>
        </w:rPr>
      </w:pPr>
      <w:r>
        <w:rPr>
          <w:sz w:val="20"/>
          <w:szCs w:val="20"/>
        </w:rPr>
        <w:t>Organizações da Sociedade Civil de Interesse Público - OSCIP, atuando nessa condição;</w:t>
      </w:r>
    </w:p>
    <w:p>
      <w:pPr>
        <w:pStyle w:val="Nivel3"/>
        <w:widowControl/>
        <w:numPr>
          <w:ilvl w:val="2"/>
          <w:numId w:val="1"/>
        </w:numPr>
        <w:tabs>
          <w:tab w:val="left" w:pos="1133" w:leader="none"/>
        </w:tabs>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r>
        <w:fldChar w:fldCharType="begin"/>
      </w:r>
      <w:r>
        <w:rPr>
          <w:rStyle w:val="LinkdaInternet"/>
          <w:sz w:val="20"/>
          <w:szCs w:val="20"/>
        </w:rPr>
        <w:instrText> HYPERLINK "http://www.planalto.gov.br/ccivil_03/_ato2019-2022/2021/lei/L14133.htm" \l "art9§1"</w:instrText>
      </w:r>
      <w:r>
        <w:rPr>
          <w:rStyle w:val="LinkdaInternet"/>
          <w:sz w:val="20"/>
          <w:szCs w:val="20"/>
        </w:rPr>
        <w:fldChar w:fldCharType="separate"/>
      </w:r>
      <w:r>
        <w:rPr>
          <w:rStyle w:val="LinkdaInternet"/>
          <w:sz w:val="20"/>
          <w:szCs w:val="20"/>
        </w:rPr>
        <w:t>§ 1º do art. 9º da Lei nº 14.133, de 2021</w:t>
      </w:r>
      <w:r>
        <w:rPr>
          <w:rStyle w:val="LinkdaInternet"/>
          <w:sz w:val="20"/>
          <w:szCs w:val="20"/>
        </w:rPr>
        <w:fldChar w:fldCharType="end"/>
      </w:r>
      <w:r>
        <w:fldChar w:fldCharType="begin"/>
      </w:r>
      <w:r>
        <w:rPr>
          <w:sz w:val="20"/>
          <w:szCs w:val="20"/>
        </w:rPr>
        <w:instrText> HYPERLINK "http://www.planalto.gov.br/ccivil_03/_ato2019-2022/2021/lei/L14133.htm" \l "art9§1"</w:instrText>
      </w:r>
      <w:r>
        <w:rPr>
          <w:sz w:val="20"/>
          <w:szCs w:val="20"/>
        </w:rPr>
        <w:fldChar w:fldCharType="separate"/>
      </w:r>
      <w:r>
        <w:rPr>
          <w:sz w:val="20"/>
          <w:szCs w:val="20"/>
        </w:rPr>
        <w:t>.</w:t>
      </w:r>
      <w:r>
        <w:rPr>
          <w:sz w:val="20"/>
          <w:szCs w:val="20"/>
        </w:rPr>
        <w:fldChar w:fldCharType="end"/>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O impedimento de que trata o item </w:t>
      </w:r>
      <w:r>
        <w:rPr>
          <w:sz w:val="20"/>
          <w:szCs w:val="20"/>
        </w:rPr>
        <w:fldChar w:fldCharType="begin"/>
      </w:r>
      <w:r>
        <w:rPr>
          <w:sz w:val="20"/>
          <w:szCs w:val="20"/>
        </w:rPr>
        <w:instrText> REF _Ref113883003 \r \h </w:instrText>
      </w:r>
      <w:r>
        <w:rPr>
          <w:sz w:val="20"/>
          <w:szCs w:val="20"/>
        </w:rPr>
        <w:fldChar w:fldCharType="separate"/>
      </w:r>
      <w:r>
        <w:rPr>
          <w:sz w:val="20"/>
          <w:szCs w:val="20"/>
        </w:rPr>
        <w:t>2.10.4</w:t>
      </w:r>
      <w:r>
        <w:rPr>
          <w:sz w:val="20"/>
          <w:szCs w:val="20"/>
        </w:rPr>
        <w:fldChar w:fldCharType="end"/>
      </w:r>
      <w:r>
        <w:rPr>
          <w:sz w:val="20"/>
          <w:szCs w:val="2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bookmarkStart w:id="10" w:name="art14§2"/>
      <w:bookmarkEnd w:id="10"/>
      <w:r>
        <w:rPr>
          <w:sz w:val="20"/>
          <w:szCs w:val="20"/>
        </w:rPr>
        <w:t xml:space="preserve">A critério da Administração e exclusivamente a seu serviço, o autor dos projetos e a empresa a que se referem os itens </w:t>
      </w:r>
      <w:r>
        <w:rPr>
          <w:sz w:val="20"/>
          <w:szCs w:val="20"/>
        </w:rPr>
        <w:fldChar w:fldCharType="begin"/>
      </w:r>
      <w:r>
        <w:rPr>
          <w:sz w:val="20"/>
          <w:szCs w:val="20"/>
        </w:rPr>
        <w:instrText> REF _Ref114659912 \r \h </w:instrText>
      </w:r>
      <w:r>
        <w:rPr>
          <w:sz w:val="20"/>
          <w:szCs w:val="20"/>
        </w:rPr>
        <w:fldChar w:fldCharType="separate"/>
      </w:r>
      <w:r>
        <w:rPr>
          <w:sz w:val="20"/>
          <w:szCs w:val="20"/>
        </w:rPr>
        <w:t>2.10.2</w:t>
      </w:r>
      <w:r>
        <w:rPr>
          <w:sz w:val="20"/>
          <w:szCs w:val="20"/>
        </w:rPr>
        <w:fldChar w:fldCharType="end"/>
      </w:r>
      <w:r>
        <w:rPr>
          <w:sz w:val="20"/>
          <w:szCs w:val="20"/>
        </w:rPr>
        <w:t xml:space="preserve"> e </w:t>
      </w:r>
      <w:r>
        <w:rPr>
          <w:sz w:val="20"/>
          <w:szCs w:val="20"/>
        </w:rPr>
        <w:fldChar w:fldCharType="begin"/>
      </w:r>
      <w:r>
        <w:rPr>
          <w:sz w:val="20"/>
          <w:szCs w:val="20"/>
        </w:rPr>
        <w:instrText> REF _Ref114659913 \r \h </w:instrText>
      </w:r>
      <w:r>
        <w:rPr>
          <w:sz w:val="20"/>
          <w:szCs w:val="20"/>
        </w:rPr>
        <w:fldChar w:fldCharType="separate"/>
      </w:r>
      <w:r>
        <w:rPr>
          <w:sz w:val="20"/>
          <w:szCs w:val="20"/>
        </w:rPr>
        <w:t>2.10.3</w:t>
      </w:r>
      <w:r>
        <w:rPr>
          <w:sz w:val="20"/>
          <w:szCs w:val="20"/>
        </w:rPr>
        <w:fldChar w:fldCharType="end"/>
      </w:r>
      <w:r>
        <w:rPr>
          <w:sz w:val="20"/>
          <w:szCs w:val="20"/>
        </w:rPr>
        <w:t xml:space="preserve"> poderão participar no apoio das atividades de planejamento da contratação, de execução da licitação ou de gestão do contrato, desde que sob supervisão exclusiva de agentes públicos do órgão ou entidade.</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bookmarkStart w:id="11" w:name="art14§3"/>
      <w:bookmarkEnd w:id="11"/>
      <w:r>
        <w:rPr>
          <w:sz w:val="20"/>
          <w:szCs w:val="20"/>
        </w:rPr>
        <w:t>Equiparam-se aos autores do projeto as empresas integrantes do mesmo grupo econômico.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bookmarkStart w:id="12" w:name="art14§4"/>
      <w:bookmarkEnd w:id="12"/>
      <w:r>
        <w:rPr>
          <w:sz w:val="20"/>
          <w:szCs w:val="20"/>
        </w:rPr>
        <w:t xml:space="preserve">O disposto nos itens </w:t>
      </w:r>
      <w:r>
        <w:rPr>
          <w:sz w:val="20"/>
          <w:szCs w:val="20"/>
        </w:rPr>
        <w:fldChar w:fldCharType="begin"/>
      </w:r>
      <w:r>
        <w:rPr>
          <w:sz w:val="20"/>
          <w:szCs w:val="20"/>
        </w:rPr>
        <w:instrText> REF _Ref114659912 \r \h </w:instrText>
      </w:r>
      <w:r>
        <w:rPr>
          <w:sz w:val="20"/>
          <w:szCs w:val="20"/>
        </w:rPr>
        <w:fldChar w:fldCharType="separate"/>
      </w:r>
      <w:r>
        <w:rPr>
          <w:sz w:val="20"/>
          <w:szCs w:val="20"/>
        </w:rPr>
        <w:t>2.10.2</w:t>
      </w:r>
      <w:r>
        <w:rPr>
          <w:sz w:val="20"/>
          <w:szCs w:val="20"/>
        </w:rPr>
        <w:fldChar w:fldCharType="end"/>
      </w:r>
      <w:r>
        <w:rPr>
          <w:sz w:val="20"/>
          <w:szCs w:val="20"/>
        </w:rPr>
        <w:t xml:space="preserve"> e </w:t>
      </w:r>
      <w:r>
        <w:rPr>
          <w:sz w:val="20"/>
          <w:szCs w:val="20"/>
        </w:rPr>
        <w:fldChar w:fldCharType="begin"/>
      </w:r>
      <w:r>
        <w:rPr>
          <w:sz w:val="20"/>
          <w:szCs w:val="20"/>
        </w:rPr>
        <w:instrText> REF _Ref114659913 \r \h </w:instrText>
      </w:r>
      <w:r>
        <w:rPr>
          <w:sz w:val="20"/>
          <w:szCs w:val="20"/>
        </w:rPr>
        <w:fldChar w:fldCharType="separate"/>
      </w:r>
      <w:r>
        <w:rPr>
          <w:sz w:val="20"/>
          <w:szCs w:val="20"/>
        </w:rPr>
        <w:t>2.10.3</w:t>
      </w:r>
      <w:r>
        <w:rPr>
          <w:sz w:val="20"/>
          <w:szCs w:val="20"/>
        </w:rPr>
        <w:fldChar w:fldCharType="end"/>
      </w:r>
      <w:r>
        <w:rPr>
          <w:sz w:val="20"/>
          <w:szCs w:val="20"/>
        </w:rPr>
        <w:t xml:space="preserve"> não impede a licitação ou a contratação de serviço que inclua como encargo do contratado a elaboração do projeto básico e do projeto executivo, nas contratações integradas, e do projeto executivo, nos demais regimes de execução.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bookmarkStart w:id="13" w:name="art14§5"/>
      <w:bookmarkEnd w:id="13"/>
      <w:r>
        <w:rPr>
          <w:sz w:val="20"/>
          <w:szCs w:val="2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1">
        <w:r>
          <w:rPr>
            <w:rStyle w:val="LinkdaInternet"/>
            <w:sz w:val="20"/>
            <w:szCs w:val="20"/>
          </w:rPr>
          <w:t>Lei nº 14.133/2021</w:t>
        </w:r>
      </w:hyperlink>
      <w:r>
        <w:rPr>
          <w:sz w:val="20"/>
          <w:szCs w:val="20"/>
        </w:rPr>
        <w:t>.</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A vedação de que trata o item</w:t>
      </w:r>
      <w:r>
        <w:rPr>
          <w:b/>
          <w:bCs/>
          <w:sz w:val="20"/>
          <w:szCs w:val="20"/>
          <w:shd w:fill="FFFFFF" w:val="clear"/>
        </w:rPr>
        <w:t xml:space="preserve"> </w:t>
      </w:r>
      <w:r>
        <w:rPr>
          <w:b/>
          <w:bCs/>
          <w:sz w:val="20"/>
          <w:szCs w:val="20"/>
          <w:shd w:fill="FFFFFF" w:val="clear"/>
        </w:rPr>
        <w:fldChar w:fldCharType="begin"/>
      </w:r>
      <w:r>
        <w:rPr>
          <w:sz w:val="20"/>
          <w:b/>
          <w:shd w:fill="FFFFFF" w:val="clear"/>
          <w:szCs w:val="20"/>
          <w:bCs/>
        </w:rPr>
        <w:instrText> REF _Ref113962336 \r \h </w:instrText>
      </w:r>
      <w:r>
        <w:rPr>
          <w:sz w:val="20"/>
          <w:b/>
          <w:shd w:fill="FFFFFF" w:val="clear"/>
          <w:szCs w:val="20"/>
          <w:bCs/>
        </w:rPr>
        <w:fldChar w:fldCharType="separate"/>
      </w:r>
      <w:r>
        <w:rPr>
          <w:sz w:val="20"/>
          <w:b/>
          <w:shd w:fill="FFFFFF" w:val="clear"/>
          <w:szCs w:val="20"/>
          <w:bCs/>
        </w:rPr>
        <w:t>2.10.8</w:t>
      </w:r>
      <w:r>
        <w:rPr>
          <w:sz w:val="20"/>
          <w:b/>
          <w:shd w:fill="FFFFFF" w:val="clear"/>
          <w:szCs w:val="20"/>
          <w:bCs/>
        </w:rPr>
        <w:fldChar w:fldCharType="end"/>
      </w:r>
      <w:r>
        <w:rPr>
          <w:sz w:val="20"/>
          <w:szCs w:val="20"/>
        </w:rPr>
        <w:t xml:space="preserve"> estende-se a terceiro que auxilie a condução da contratação na qualidade de integrante de equipe de apoio, profissional especializado ou funcionário ou representante de empresa que preste assessoria técnica.</w:t>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ind w:left="0" w:right="0" w:hanging="0"/>
        <w:rPr>
          <w:rFonts w:ascii="Arial" w:hAnsi="Arial"/>
          <w:sz w:val="20"/>
          <w:szCs w:val="20"/>
        </w:rPr>
      </w:pPr>
      <w:bookmarkStart w:id="14" w:name="_Toc135469226"/>
      <w:r>
        <w:rPr>
          <w:sz w:val="20"/>
          <w:szCs w:val="20"/>
        </w:rPr>
        <w:t>DA APRESENTAÇÃO DA PROPOSTA E DOS DOCUMENTOS DE HABILITAÇÃO</w:t>
      </w:r>
      <w:bookmarkEnd w:id="14"/>
    </w:p>
    <w:p>
      <w:pPr>
        <w:pStyle w:val="Nvel2Red"/>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commentRangeStart w:id="3"/>
      <w:r>
        <w:rPr>
          <w:i w:val="false"/>
          <w:iCs w:val="false"/>
          <w:color w:val="000000"/>
          <w:sz w:val="20"/>
          <w:szCs w:val="20"/>
        </w:rPr>
        <w:t>Na presente licitação, a fase de habilitação sucederá as fases de apresentação de propostas e lances e de julgamento.</w:t>
      </w:r>
      <w:commentRangeEnd w:id="3"/>
      <w:r>
        <w:commentReference w:id="3"/>
      </w:r>
      <w:r>
        <w:rPr>
          <w:i w:val="false"/>
          <w:iCs w:val="false"/>
          <w:color w:val="000000"/>
          <w:sz w:val="20"/>
          <w:szCs w:val="20"/>
        </w:rPr>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bookmarkStart w:id="15" w:name="_Ref113886867"/>
      <w:r>
        <w:rPr>
          <w:sz w:val="20"/>
          <w:szCs w:val="2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bookmarkStart w:id="16" w:name="_Ref113889589"/>
      <w:r>
        <w:rPr>
          <w:sz w:val="20"/>
          <w:szCs w:val="20"/>
        </w:rPr>
        <w:t xml:space="preserve">Caso a fase de habilitação anteceda as fases de apresentação de propostas e lances, os licitantes encaminharão, na forma e no prazo estabelecidos no item anterior, simultaneamente os documentos de habilitação e a proposta com o preço, observado o disposto nos itens </w:t>
      </w:r>
      <w:r>
        <w:rPr>
          <w:sz w:val="20"/>
          <w:szCs w:val="20"/>
          <w:shd w:fill="FFFFFF" w:val="clear"/>
        </w:rPr>
        <w:t>deste Edital.</w:t>
      </w:r>
      <w:bookmarkEnd w:id="16"/>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bookmarkStart w:id="17" w:name="_Ref113968921"/>
      <w:r>
        <w:rPr>
          <w:sz w:val="20"/>
          <w:szCs w:val="20"/>
        </w:rPr>
        <w:t>No cadastramento da proposta inicial, o licitante declarará, em campo próprio do sistema, que:</w:t>
      </w:r>
      <w:bookmarkEnd w:id="17"/>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olor w:val="auto"/>
          <w:sz w:val="20"/>
          <w:szCs w:val="20"/>
        </w:rPr>
      </w:pPr>
      <w:r>
        <w:rPr>
          <w:color w:val="auto"/>
          <w:sz w:val="20"/>
          <w:szCs w:val="20"/>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 xml:space="preserve">não emprega menor de 18 anos em trabalho noturno, perigoso ou insalubre e não emprega menor de 16 anos, salvo menor, a partir de 14 anos, na condição de aprendiz, nos termos do </w:t>
      </w:r>
      <w:r>
        <w:fldChar w:fldCharType="begin"/>
      </w:r>
      <w:r>
        <w:rPr>
          <w:rStyle w:val="LinkdaInternet"/>
          <w:sz w:val="20"/>
          <w:szCs w:val="20"/>
        </w:rPr>
        <w:instrText> HYPERLINK "https://www.planalto.gov.br/ccivil_03/constituicao/constituicaocompilado.htm" \l "art7"</w:instrText>
      </w:r>
      <w:r>
        <w:rPr>
          <w:rStyle w:val="LinkdaInternet"/>
          <w:sz w:val="20"/>
          <w:szCs w:val="20"/>
        </w:rPr>
        <w:fldChar w:fldCharType="separate"/>
      </w:r>
      <w:r>
        <w:rPr>
          <w:rStyle w:val="LinkdaInternet"/>
          <w:sz w:val="20"/>
          <w:szCs w:val="20"/>
        </w:rPr>
        <w:t>artigo 7°, XXXIII, da Constituição</w:t>
      </w:r>
      <w:r>
        <w:rPr>
          <w:rStyle w:val="LinkdaInternet"/>
          <w:sz w:val="20"/>
          <w:szCs w:val="20"/>
        </w:rPr>
        <w:fldChar w:fldCharType="end"/>
      </w:r>
      <w:r>
        <w:rPr>
          <w:sz w:val="20"/>
          <w:szCs w:val="20"/>
        </w:rPr>
        <w:t>;</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 xml:space="preserve">não possui empregados executando trabalho degradante ou forçado, observando o disposto nos </w:t>
      </w:r>
      <w:hyperlink r:id="rId12">
        <w:r>
          <w:rPr>
            <w:rStyle w:val="LinkdaInternet"/>
            <w:sz w:val="20"/>
            <w:szCs w:val="20"/>
          </w:rPr>
          <w:t>incisos III e IV do art. 1º e no inciso III do art. 5º da Constituição Federal</w:t>
        </w:r>
      </w:hyperlink>
      <w:r>
        <w:rPr>
          <w:sz w:val="20"/>
          <w:szCs w:val="20"/>
        </w:rPr>
        <w:t>;</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cumpre as exigências de reserva de cargos para pessoa com deficiência e para reabilitado da Previdência Social, previstas em lei e em outras normas específicas.</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O licitante organizado em cooperativa deverá declarar, ainda, em campo próprio do sistema eletrônico, que cumpre os requisitos estabelecidos no </w:t>
      </w:r>
      <w:r>
        <w:fldChar w:fldCharType="begin"/>
      </w:r>
      <w:r>
        <w:rPr>
          <w:rStyle w:val="LinkdaInternet"/>
          <w:sz w:val="20"/>
          <w:szCs w:val="20"/>
        </w:rPr>
        <w:instrText> HYPERLINK "http://www.planalto.gov.br/ccivil_03/_ato2019-2022/2021/lei/L14133.htm" \l "art16"</w:instrText>
      </w:r>
      <w:r>
        <w:rPr>
          <w:rStyle w:val="LinkdaInternet"/>
          <w:sz w:val="20"/>
          <w:szCs w:val="20"/>
        </w:rPr>
        <w:fldChar w:fldCharType="separate"/>
      </w:r>
      <w:r>
        <w:rPr>
          <w:rStyle w:val="LinkdaInternet"/>
          <w:sz w:val="20"/>
          <w:szCs w:val="20"/>
        </w:rPr>
        <w:t>artigo 16 da Lei nº 14.133, de 2021</w:t>
      </w:r>
      <w:r>
        <w:rPr>
          <w:rStyle w:val="LinkdaInternet"/>
          <w:sz w:val="20"/>
          <w:szCs w:val="20"/>
        </w:rPr>
        <w:fldChar w:fldCharType="end"/>
      </w:r>
      <w:r>
        <w:rPr>
          <w:sz w:val="20"/>
          <w:szCs w:val="20"/>
        </w:rPr>
        <w:t>.</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bookmarkStart w:id="18" w:name="_Ref117000019"/>
      <w:r>
        <w:rPr>
          <w:sz w:val="20"/>
          <w:szCs w:val="20"/>
        </w:rPr>
        <w:t xml:space="preserve">O fornecedor enquadrado como microempresa, empresa de pequeno porte ou sociedade cooperativa deverá declarar, ainda, em campo próprio do sistema eletrônico, que cumpre os requisitos estabelecidos no </w:t>
      </w:r>
      <w:r>
        <w:fldChar w:fldCharType="begin"/>
      </w:r>
      <w:r>
        <w:rPr>
          <w:rStyle w:val="LinkdaInternet"/>
          <w:sz w:val="20"/>
          <w:szCs w:val="20"/>
        </w:rPr>
        <w:instrText> HYPERLINK "https://www.planalto.gov.br/ccivil_03/leis/lcp/lcp123.htm" \l "art3"</w:instrText>
      </w:r>
      <w:r>
        <w:rPr>
          <w:rStyle w:val="LinkdaInternet"/>
          <w:sz w:val="20"/>
          <w:szCs w:val="20"/>
        </w:rPr>
        <w:fldChar w:fldCharType="separate"/>
      </w:r>
      <w:r>
        <w:rPr>
          <w:rStyle w:val="LinkdaInternet"/>
          <w:sz w:val="20"/>
          <w:szCs w:val="20"/>
        </w:rPr>
        <w:t>artigo 3° da Lei Complementar nº 123, de 2006</w:t>
      </w:r>
      <w:r>
        <w:rPr>
          <w:rStyle w:val="LinkdaInternet"/>
          <w:sz w:val="20"/>
          <w:szCs w:val="20"/>
        </w:rPr>
        <w:fldChar w:fldCharType="end"/>
      </w:r>
      <w:r>
        <w:rPr>
          <w:sz w:val="20"/>
          <w:szCs w:val="20"/>
        </w:rPr>
        <w:t xml:space="preserve">, estando apto a usufruir do tratamento favorecido estabelecido em seus </w:t>
      </w:r>
      <w:r>
        <w:fldChar w:fldCharType="begin"/>
      </w:r>
      <w:r>
        <w:rPr>
          <w:rStyle w:val="LinkdaInternet"/>
          <w:sz w:val="20"/>
          <w:szCs w:val="20"/>
        </w:rPr>
        <w:instrText> HYPERLINK "https://www.planalto.gov.br/ccivil_03/leis/lcp/lcp123.htm" \l "art42"</w:instrText>
      </w:r>
      <w:r>
        <w:rPr>
          <w:rStyle w:val="LinkdaInternet"/>
          <w:sz w:val="20"/>
          <w:szCs w:val="20"/>
        </w:rPr>
        <w:fldChar w:fldCharType="separate"/>
      </w:r>
      <w:bookmarkEnd w:id="18"/>
      <w:r>
        <w:rPr>
          <w:rStyle w:val="LinkdaInternet"/>
          <w:sz w:val="20"/>
          <w:szCs w:val="20"/>
        </w:rPr>
        <w:t>arts. 42 a 49</w:t>
      </w:r>
      <w:r>
        <w:rPr>
          <w:rStyle w:val="LinkdaInternet"/>
          <w:sz w:val="20"/>
          <w:szCs w:val="20"/>
        </w:rPr>
        <w:fldChar w:fldCharType="end"/>
      </w:r>
      <w:r>
        <w:rPr>
          <w:sz w:val="20"/>
          <w:szCs w:val="20"/>
        </w:rPr>
        <w:t xml:space="preserve">, observado o disposto nos </w:t>
      </w:r>
      <w:r>
        <w:fldChar w:fldCharType="begin"/>
      </w:r>
      <w:r>
        <w:rPr>
          <w:rStyle w:val="LinkdaInternet"/>
          <w:sz w:val="20"/>
          <w:szCs w:val="20"/>
        </w:rPr>
        <w:instrText> HYPERLINK "http://www.planalto.gov.br/ccivil_03/_ato2019-2022/2021/lei/L14133.htm" \l "art4§1"</w:instrText>
      </w:r>
      <w:r>
        <w:rPr>
          <w:rStyle w:val="LinkdaInternet"/>
          <w:sz w:val="20"/>
          <w:szCs w:val="20"/>
        </w:rPr>
        <w:fldChar w:fldCharType="separate"/>
      </w:r>
      <w:r>
        <w:rPr>
          <w:rStyle w:val="LinkdaInternet"/>
          <w:sz w:val="20"/>
          <w:szCs w:val="20"/>
        </w:rPr>
        <w:t>§§ 1º ao 3º do art. 4º, da Lei n.º 14.133, de 2021.</w:t>
      </w:r>
      <w:r>
        <w:rPr>
          <w:rStyle w:val="LinkdaInternet"/>
          <w:sz w:val="20"/>
          <w:szCs w:val="20"/>
        </w:rPr>
        <w:fldChar w:fldCharType="end"/>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A falsidade da declaração de que trata os itens </w:t>
      </w:r>
      <w:r>
        <w:rPr>
          <w:sz w:val="20"/>
          <w:szCs w:val="20"/>
        </w:rPr>
        <w:fldChar w:fldCharType="begin"/>
      </w:r>
      <w:r>
        <w:rPr>
          <w:sz w:val="20"/>
          <w:szCs w:val="20"/>
        </w:rPr>
        <w:instrText> REF _Ref113968921 \r \h </w:instrText>
      </w:r>
      <w:r>
        <w:rPr>
          <w:sz w:val="20"/>
          <w:szCs w:val="20"/>
        </w:rPr>
        <w:fldChar w:fldCharType="separate"/>
      </w:r>
      <w:r>
        <w:rPr>
          <w:sz w:val="20"/>
          <w:szCs w:val="20"/>
        </w:rPr>
        <w:t>3.4</w:t>
      </w:r>
      <w:r>
        <w:rPr>
          <w:sz w:val="20"/>
          <w:szCs w:val="20"/>
        </w:rPr>
        <w:fldChar w:fldCharType="end"/>
      </w:r>
      <w:r>
        <w:rPr>
          <w:sz w:val="20"/>
          <w:szCs w:val="20"/>
        </w:rPr>
        <w:t xml:space="preserve"> ou </w:t>
      </w:r>
      <w:r>
        <w:rPr>
          <w:sz w:val="20"/>
          <w:szCs w:val="20"/>
        </w:rPr>
        <w:fldChar w:fldCharType="begin"/>
      </w:r>
      <w:r>
        <w:rPr>
          <w:sz w:val="20"/>
          <w:szCs w:val="20"/>
        </w:rPr>
        <w:instrText> REF _Ref117000019 \r \h </w:instrText>
      </w:r>
      <w:r>
        <w:rPr>
          <w:sz w:val="20"/>
          <w:szCs w:val="20"/>
        </w:rPr>
        <w:fldChar w:fldCharType="separate"/>
      </w:r>
      <w:r>
        <w:rPr>
          <w:sz w:val="20"/>
          <w:szCs w:val="20"/>
        </w:rPr>
        <w:t>3.6</w:t>
      </w:r>
      <w:r>
        <w:rPr>
          <w:sz w:val="20"/>
          <w:szCs w:val="20"/>
        </w:rPr>
        <w:fldChar w:fldCharType="end"/>
      </w:r>
      <w:r>
        <w:rPr>
          <w:sz w:val="20"/>
          <w:szCs w:val="20"/>
        </w:rPr>
        <w:t xml:space="preserve"> sujeitará o licitante às sanções previstas na </w:t>
      </w:r>
      <w:hyperlink r:id="rId13">
        <w:r>
          <w:rPr>
            <w:rStyle w:val="LinkdaInternet"/>
            <w:sz w:val="20"/>
            <w:szCs w:val="20"/>
          </w:rPr>
          <w:t>Lei nº 14.133, de 2021</w:t>
        </w:r>
      </w:hyperlink>
      <w:r>
        <w:rPr>
          <w:sz w:val="20"/>
          <w:szCs w:val="20"/>
        </w:rPr>
        <w:t>, e neste Edital.</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Não haverá ordem de classificação na etapa de apresentação da proposta e dos documentos de habilitação pelo licitante, o que ocorrerá somente após os procedimentos de abertura da sessão pública e da fase de envio de lances.</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Serão disponibilizados para acesso público os documentos que compõem a proposta dos licitantes convocados para apresentação de propostas, após a fase de envio de lances.</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bookmarkStart w:id="19" w:name="_Ref116992247"/>
      <w:r>
        <w:rPr>
          <w:sz w:val="20"/>
          <w:szCs w:val="20"/>
        </w:rPr>
        <w:t>Desde que disponibilizada a funcionalidade no sistema, o licitante poderá parametrizar o seu valor final mínimo ou o seu percentual de desconto máximo quando do cadastramento da proposta e obedecerá às seguintes regras:</w:t>
      </w:r>
      <w:bookmarkEnd w:id="19"/>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 aplicação do intervalo mínimo de diferença de valores ou de percentuais entre os lances, que incidirá tanto em relação aos lances intermediários quanto em relação ao lance que cobrir a melhor oferta; e</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commentRangeStart w:id="4"/>
      <w:r>
        <w:rPr>
          <w:sz w:val="20"/>
          <w:szCs w:val="20"/>
        </w:rPr>
        <w:t>os lances serão de envio automático pelo sistema, respeitado o valor final mínimo, caso estabelecido, e o intervalo de que trata o subitem acima.</w:t>
      </w:r>
      <w:commentRangeEnd w:id="4"/>
      <w:r>
        <w:commentReference w:id="4"/>
      </w:r>
      <w:r>
        <w:rPr>
          <w:sz w:val="20"/>
          <w:szCs w:val="20"/>
        </w:rPr>
      </w:r>
    </w:p>
    <w:p>
      <w:pPr>
        <w:pStyle w:val="Nivel2"/>
        <w:widowControl/>
        <w:numPr>
          <w:ilvl w:val="1"/>
          <w:numId w:val="1"/>
        </w:numPr>
        <w:tabs>
          <w:tab w:val="left" w:pos="567" w:leader="none"/>
        </w:tabs>
        <w:suppressAutoHyphens w:val="true"/>
        <w:overflowPunct w:val="true"/>
        <w:bidi w:val="0"/>
        <w:spacing w:lineRule="auto" w:line="240" w:before="0" w:after="0"/>
        <w:ind w:left="0" w:right="0" w:firstLine="567"/>
        <w:jc w:val="both"/>
        <w:rPr>
          <w:rFonts w:ascii="Arial" w:hAnsi="Arial"/>
          <w:sz w:val="20"/>
          <w:szCs w:val="20"/>
        </w:rPr>
      </w:pPr>
      <w:r>
        <w:rPr>
          <w:sz w:val="20"/>
          <w:szCs w:val="20"/>
        </w:rPr>
        <w:t>O valor final mínimo ou o percentual de desconto final máximo parametrizado no sistema poderá ser alterado pelo fornecedor durante a fase de disputa, sendo vedado: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valor superior a lance já registrado pelo fornecedor no sistema, quando adotado o critério de julgamento por menor preço; e</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 xml:space="preserve"> </w:t>
      </w:r>
      <w:commentRangeStart w:id="5"/>
      <w:r>
        <w:rPr>
          <w:sz w:val="20"/>
          <w:szCs w:val="20"/>
        </w:rPr>
        <w:t>percentual de desconto inferior a lance já registrado pelo fornecedor no sistema, quando adotado o critério de julgamento por maior desconto.</w:t>
      </w:r>
      <w:commentRangeEnd w:id="5"/>
      <w:r>
        <w:commentReference w:id="5"/>
      </w:r>
      <w:r>
        <w:rPr>
          <w:sz w:val="20"/>
          <w:szCs w:val="20"/>
        </w:rPr>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O valor final mínimo ou o percentual de desconto final máximo parametrizado na forma do item </w:t>
      </w:r>
      <w:r>
        <w:rPr>
          <w:sz w:val="20"/>
          <w:szCs w:val="20"/>
        </w:rPr>
        <w:fldChar w:fldCharType="begin"/>
      </w:r>
      <w:r>
        <w:rPr>
          <w:sz w:val="20"/>
          <w:szCs w:val="20"/>
        </w:rPr>
        <w:instrText> REF _Ref116992247 \r \h </w:instrText>
      </w:r>
      <w:r>
        <w:rPr>
          <w:sz w:val="20"/>
          <w:szCs w:val="20"/>
        </w:rPr>
        <w:fldChar w:fldCharType="separate"/>
      </w:r>
      <w:r>
        <w:rPr>
          <w:sz w:val="20"/>
          <w:szCs w:val="20"/>
        </w:rPr>
        <w:t>3.11</w:t>
      </w:r>
      <w:r>
        <w:rPr>
          <w:sz w:val="20"/>
          <w:szCs w:val="20"/>
        </w:rPr>
        <w:fldChar w:fldCharType="end"/>
      </w:r>
      <w:r>
        <w:rPr>
          <w:sz w:val="20"/>
          <w:szCs w:val="20"/>
        </w:rPr>
        <w:t xml:space="preserve"> possuirá caráter sigiloso para os demais fornecedores e para o órgão ou entidade promotora da licitação, podendo ser disponibilizado estrita e permanentemente aos órgãos de controle externo e interno.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rFonts w:eastAsia="Times New Roman"/>
          <w:sz w:val="20"/>
          <w:szCs w:val="20"/>
        </w:rPr>
        <w:t xml:space="preserve">Caberá ao licitante interessado em participar da licitação </w:t>
      </w:r>
      <w:r>
        <w:rPr>
          <w:sz w:val="20"/>
          <w:szCs w:val="20"/>
        </w:rPr>
        <w:t>acompanhar as operações no sistema eletrônico durante o processo licitatório e se responsabilizar pelo ônus decorrente da perda de negócios diante da inobservância de mensagens emitidas pela Administração ou de sua desconexão.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rFonts w:eastAsia="Times New Roman"/>
          <w:sz w:val="20"/>
          <w:szCs w:val="20"/>
        </w:rPr>
        <w:t xml:space="preserve">O licitante deverá </w:t>
      </w:r>
      <w:r>
        <w:rPr>
          <w:sz w:val="20"/>
          <w:szCs w:val="20"/>
        </w:rPr>
        <w:t>comunicar imediatamente ao provedor do sistema qualquer acontecimento que possa comprometer o sigilo ou a segurança, para imediato bloqueio de acesso.</w:t>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ind w:left="0" w:right="0" w:hanging="0"/>
        <w:rPr>
          <w:rFonts w:ascii="Arial" w:hAnsi="Arial"/>
          <w:sz w:val="20"/>
          <w:szCs w:val="20"/>
        </w:rPr>
      </w:pPr>
      <w:bookmarkStart w:id="20" w:name="_Toc135469227"/>
      <w:r>
        <w:rPr>
          <w:sz w:val="20"/>
          <w:szCs w:val="20"/>
        </w:rPr>
        <w:t>DO PREENCHIMENTO DA PROPOSTA</w:t>
      </w:r>
      <w:bookmarkEnd w:id="20"/>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 licitante deverá enviar sua proposta mediante o preenchimento, no sistema eletrônico, dos seguintes campos:</w:t>
      </w:r>
    </w:p>
    <w:p>
      <w:pPr>
        <w:pStyle w:val="Nvel3R"/>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rStyle w:val="Eop"/>
          <w:b w:val="false"/>
          <w:bCs w:val="false"/>
          <w:color w:val="000000"/>
          <w:sz w:val="20"/>
          <w:szCs w:val="20"/>
          <w:u w:val="none"/>
          <w:shd w:fill="FFFFFF" w:val="clear"/>
        </w:rPr>
        <w:t xml:space="preserve">Valor global </w:t>
      </w:r>
    </w:p>
    <w:p>
      <w:pPr>
        <w:pStyle w:val="Nvel3R"/>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rStyle w:val="Eop"/>
          <w:b w:val="false"/>
          <w:bCs w:val="false"/>
          <w:color w:val="000000"/>
          <w:sz w:val="20"/>
          <w:szCs w:val="20"/>
          <w:u w:val="none"/>
          <w:shd w:fill="FFFFFF" w:val="clear"/>
        </w:rPr>
        <w:t>Quantidade</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Todas as especificações do objeto contidas na proposta vinculam o licitante.</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rStyle w:val="Normaltextrun"/>
          <w:i/>
          <w:iCs/>
          <w:color w:val="000000"/>
          <w:sz w:val="20"/>
          <w:szCs w:val="20"/>
          <w:u w:val="none"/>
          <w:shd w:fill="FFFFFF" w:val="clear"/>
        </w:rPr>
        <w:t xml:space="preserve">O licitante [NÃO] poderá oferecer proposta em quantitativo inferior ao máximo previsto para </w:t>
      </w:r>
      <w:commentRangeStart w:id="6"/>
      <w:r>
        <w:rPr>
          <w:rStyle w:val="Normaltextrun"/>
          <w:i/>
          <w:iCs/>
          <w:color w:val="000000"/>
          <w:sz w:val="20"/>
          <w:szCs w:val="20"/>
          <w:u w:val="none"/>
          <w:shd w:fill="FFFFFF" w:val="clear"/>
        </w:rPr>
        <w:t>contratação</w:t>
      </w:r>
      <w:r>
        <w:rPr>
          <w:rStyle w:val="Normaltextrun"/>
          <w:i/>
          <w:iCs/>
          <w:color w:val="000000"/>
          <w:sz w:val="20"/>
          <w:szCs w:val="20"/>
          <w:u w:val="none"/>
          <w:shd w:fill="FFFFFF" w:val="clear"/>
        </w:rPr>
      </w:r>
      <w:commentRangeEnd w:id="6"/>
      <w:r>
        <w:commentReference w:id="6"/>
      </w:r>
      <w:r>
        <w:rPr>
          <w:rStyle w:val="Normaltextrun"/>
          <w:i/>
          <w:iCs/>
          <w:color w:val="0078D4"/>
          <w:sz w:val="20"/>
          <w:szCs w:val="20"/>
          <w:u w:val="single"/>
          <w:shd w:fill="FFFFFF" w:val="clear"/>
        </w:rPr>
        <w:t>.</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Nos valores propostos estarão inclusos todos os custos operacionais, encargos previdenciários, trabalhistas, tributários, comerciais e quaisquer outros que incidam direta ou indiretamente na execução do objeto.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Os preços ofertados, tanto na proposta inicial, quanto na etapa de lances, serão de exclusiva responsabilidade do licitante, não lhe assistindo o direito de pleitear qualquer alteração, sob alegação de erro, omissão ou qualquer outro pretexto.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 xml:space="preserve">Se o regime tributário da empresa implicar o recolhimento de tributos em percentuais variáveis, a cotação adequada será a que corresponde à média dos efetivos recolhimentos da empresa nos últimos doze meses. </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Independentemente do percentual de tributo inserido na planilha, no pagamento serão retidos na fonte os percentuais estabelecidos na legislação vigente.</w:t>
      </w:r>
      <w:r>
        <w:rPr>
          <w:sz w:val="20"/>
          <w:szCs w:val="20"/>
          <w:shd w:fill="FFFF00" w:val="clear"/>
        </w:rPr>
        <w:t xml:space="preserve"> </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commentRangeStart w:id="7"/>
      <w:r>
        <w:rPr>
          <w:sz w:val="20"/>
          <w:szCs w:val="20"/>
        </w:rPr>
        <w:t xml:space="preserve">O prazo de validade da proposta não será inferior a </w:t>
      </w:r>
      <w:r>
        <w:rPr>
          <w:b/>
          <w:bCs/>
          <w:color w:val="000000"/>
          <w:sz w:val="20"/>
          <w:szCs w:val="20"/>
        </w:rPr>
        <w:t>60 (sessenta)</w:t>
      </w:r>
      <w:r>
        <w:rPr>
          <w:color w:val="FF0000"/>
          <w:sz w:val="20"/>
          <w:szCs w:val="20"/>
        </w:rPr>
        <w:t xml:space="preserve"> </w:t>
      </w:r>
      <w:r>
        <w:rPr>
          <w:sz w:val="20"/>
          <w:szCs w:val="20"/>
        </w:rPr>
        <w:t>dias</w:t>
      </w:r>
      <w:r>
        <w:rPr>
          <w:b/>
          <w:sz w:val="20"/>
          <w:szCs w:val="20"/>
        </w:rPr>
        <w:t>,</w:t>
      </w:r>
      <w:r>
        <w:rPr>
          <w:sz w:val="20"/>
          <w:szCs w:val="20"/>
        </w:rPr>
        <w:t xml:space="preserve"> a contar da data de sua apresentação.</w:t>
      </w:r>
      <w:commentRangeEnd w:id="7"/>
      <w:r>
        <w:commentReference w:id="7"/>
      </w:r>
      <w:r>
        <w:rPr>
          <w:sz w:val="20"/>
          <w:szCs w:val="20"/>
        </w:rPr>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Os licitantes devem respeitar os preços máximos estabelecidos nas normas de regência de contratações públicas, quando participarem de licitações públicas;</w:t>
      </w:r>
    </w:p>
    <w:p>
      <w:pPr>
        <w:pStyle w:val="Nivel3"/>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ind w:left="0" w:right="0" w:hanging="0"/>
        <w:rPr>
          <w:rFonts w:ascii="Arial" w:hAnsi="Arial"/>
          <w:sz w:val="20"/>
          <w:szCs w:val="20"/>
        </w:rPr>
      </w:pPr>
      <w:bookmarkStart w:id="21" w:name="_Toc135469228"/>
      <w:r>
        <w:rPr>
          <w:sz w:val="20"/>
          <w:szCs w:val="20"/>
        </w:rPr>
        <w:t>DA ABERTURA DA SESSÃO, CLASSIFICAÇÃO DAS PROPOSTAS E FORMULAÇÃO DE LANCES</w:t>
      </w:r>
      <w:bookmarkEnd w:id="21"/>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A abertura da presente licitação dar-se-á automaticamente em sessão pública, por meio de sistema eletrônico, na data, horário e local indicados neste Edital.</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Os licitantes poderão retirar ou substituir a proposta ou os documentos de habilitação, quando for o caso, anteriormente inseridos no sistema, até a abertura da sessão pública.</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 sistema disponibilizará campo próprio para troca de mensagens entre o Agente de contratação e os licitantes.</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 xml:space="preserve">Iniciada a etapa competitiva, os licitantes deverão encaminhar lances exclusivamente por meio de sistema eletrônico, sendo imediatamente informados do seu recebimento e do valor consignado no registro. </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O lance deverá ser ofertado pelo </w:t>
      </w:r>
      <w:r>
        <w:rPr>
          <w:b/>
          <w:bCs/>
          <w:color w:val="000000"/>
          <w:sz w:val="20"/>
          <w:szCs w:val="20"/>
        </w:rPr>
        <w:t xml:space="preserve">valor </w:t>
      </w:r>
      <w:r>
        <w:rPr>
          <w:rFonts w:eastAsia="ＭＳ 明朝" w:cs="Arial"/>
          <w:b/>
          <w:bCs/>
          <w:color w:val="000000"/>
          <w:kern w:val="0"/>
          <w:sz w:val="20"/>
          <w:szCs w:val="20"/>
          <w:lang w:val="pt-BR" w:eastAsia="pt-BR" w:bidi="ar-SA"/>
        </w:rPr>
        <w:t>global</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Os licitantes poderão oferecer lances sucessivos, observando o horário fixado para abertura da sessão e as regras estabelecidas no Edital.</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O licitante somente poderá oferecer lance</w:t>
      </w:r>
      <w:r>
        <w:rPr>
          <w:color w:val="000000"/>
          <w:sz w:val="20"/>
          <w:szCs w:val="20"/>
        </w:rPr>
        <w:t xml:space="preserve"> </w:t>
      </w:r>
      <w:r>
        <w:rPr>
          <w:i/>
          <w:iCs/>
          <w:color w:val="000000"/>
          <w:sz w:val="20"/>
          <w:szCs w:val="20"/>
        </w:rPr>
        <w:t>de valor</w:t>
      </w:r>
      <w:r>
        <w:rPr>
          <w:color w:val="000000"/>
          <w:sz w:val="20"/>
          <w:szCs w:val="20"/>
        </w:rPr>
        <w:t xml:space="preserve"> </w:t>
      </w:r>
      <w:r>
        <w:rPr>
          <w:i/>
          <w:iCs/>
          <w:color w:val="000000"/>
          <w:sz w:val="20"/>
          <w:szCs w:val="20"/>
        </w:rPr>
        <w:t>inferior</w:t>
      </w:r>
      <w:r>
        <w:rPr>
          <w:color w:val="FF0000"/>
          <w:sz w:val="20"/>
          <w:szCs w:val="20"/>
        </w:rPr>
        <w:t xml:space="preserve"> </w:t>
      </w:r>
      <w:r>
        <w:rPr>
          <w:sz w:val="20"/>
          <w:szCs w:val="20"/>
        </w:rPr>
        <w:t xml:space="preserve">ao último por ele ofertado e registrado pelo sistema. </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commentRangeStart w:id="8"/>
      <w:r>
        <w:rPr>
          <w:sz w:val="20"/>
          <w:szCs w:val="20"/>
        </w:rPr>
        <w:t>O intervalo mínimo de diferença de valores entre os lances, que incidirá tanto em relação aos lances intermediários quanto em relação à proposta que cobrir a melhor oferta deverá ser</w:t>
      </w:r>
      <w:r>
        <w:rPr>
          <w:i/>
          <w:iCs/>
          <w:sz w:val="20"/>
          <w:szCs w:val="20"/>
        </w:rPr>
        <w:t xml:space="preserve"> </w:t>
      </w:r>
      <w:r>
        <w:rPr>
          <w:b w:val="false"/>
          <w:bCs w:val="false"/>
          <w:i/>
          <w:iCs/>
          <w:color w:val="000000"/>
          <w:sz w:val="20"/>
          <w:szCs w:val="20"/>
        </w:rPr>
        <w:t xml:space="preserve">de </w:t>
      </w:r>
      <w:r>
        <w:rPr>
          <w:b/>
          <w:bCs/>
          <w:i/>
          <w:iCs/>
          <w:color w:val="000000"/>
          <w:sz w:val="20"/>
          <w:szCs w:val="20"/>
        </w:rPr>
        <w:t>R$ 500,00 (quinhentos) reais.</w:t>
      </w:r>
      <w:commentRangeEnd w:id="8"/>
      <w:r>
        <w:commentReference w:id="8"/>
      </w:r>
      <w:r>
        <w:rPr>
          <w:b/>
          <w:bCs/>
          <w:i/>
          <w:iCs/>
          <w:color w:val="000000"/>
          <w:sz w:val="20"/>
          <w:szCs w:val="20"/>
        </w:rPr>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commentRangeStart w:id="9"/>
      <w:r>
        <w:rPr>
          <w:sz w:val="20"/>
          <w:szCs w:val="20"/>
        </w:rPr>
        <w:t>O procedimento seguirá de acordo com o modo de disputa adotado.</w:t>
      </w:r>
      <w:commentRangeEnd w:id="9"/>
      <w:r>
        <w:commentReference w:id="9"/>
      </w:r>
      <w:r>
        <w:rPr>
          <w:sz w:val="20"/>
          <w:szCs w:val="20"/>
        </w:rPr>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bookmarkStart w:id="22" w:name="_Hlk113697759"/>
      <w:bookmarkEnd w:id="22"/>
      <w:r>
        <w:rPr>
          <w:sz w:val="20"/>
          <w:szCs w:val="20"/>
        </w:rPr>
        <w:t>Caso seja adotado para o envio de lances na concorrência eletrônica o modo de disputa “aberto”, os licitantes apresentarão lances públicos e sucessivos, com prorrogações.</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bookmarkStart w:id="23" w:name="_Hlk1136977591"/>
      <w:bookmarkEnd w:id="23"/>
      <w:r>
        <w:rPr>
          <w:sz w:val="20"/>
          <w:szCs w:val="20"/>
        </w:rPr>
        <w:t>A etapa de lances da sessão pública terá duração de dez minutos e, após isso, será prorrogada automaticamente pelo sistema quando houver lance ofertado nos últimos dois minutos do período de duração da sessão pública.</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 prorrogação automática da etapa de lances, de que trata o subitem anterior, será de dois minutos e ocorrerá sucessivamente sempre que houver lances enviados nesse período de prorrogação, inclusive no caso de lances intermediários.</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Não havendo novos lances na forma estabelecida nos itens anteriores, a sessão pública encerrar-se-á automaticamente, e o sistema ordenará e divulgará os lances conforme a ordem final de classificação.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 xml:space="preserve">Durante o transcurso da sessão pública, os licitantes serão informados, em tempo real, do valor do menor lance registrado, vedada a identificação do licitante. </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 xml:space="preserve">No caso de desconexão com o Agente de Contratação, no decorrer da etapa competitiva da concorrência, o sistema eletrônico poderá permanecer acessível aos licitantes para a recepção dos lances. </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Quando a desconexão do sistema eletrônico para o Agente de Contratação persistir por tempo superior a </w:t>
      </w:r>
      <w:r>
        <w:rPr>
          <w:rFonts w:eastAsia="ＭＳ 明朝" w:cs="Arial"/>
          <w:color w:val="000000"/>
          <w:kern w:val="0"/>
          <w:sz w:val="20"/>
          <w:szCs w:val="20"/>
          <w:lang w:val="pt-BR" w:eastAsia="pt-BR" w:bidi="ar-SA"/>
        </w:rPr>
        <w:t>trinta</w:t>
      </w:r>
      <w:r>
        <w:rPr>
          <w:sz w:val="20"/>
          <w:szCs w:val="20"/>
        </w:rPr>
        <w:t xml:space="preserve"> minutos, a sessão pública será suspensa e reiniciada somente após decorridas vinte e quatro horas da comunicação do fato pelo Agente de contratação aos participantes, no sítio eletrônico utilizado para divulgação.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Caso o licitante não apresente lances, concorrerá com o valor de sua proposta.</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Em relação a itens não exclusivos para participação de microempresas e empresas de pequeno porte, uma vez encerrada a etapa de lances</w:t>
      </w:r>
      <w:r>
        <w:rPr>
          <w:rFonts w:eastAsia="Zurich BT"/>
          <w:sz w:val="20"/>
          <w:szCs w:val="20"/>
        </w:rPr>
        <w:t xml:space="preserve">, será efetivada a verificação automática, junto à Receita Federal, do porte da entidade empresarial. O sistema identificará em coluna própria as microempresas e empresas de pequeno porte </w:t>
      </w:r>
      <w:r>
        <w:rPr>
          <w:sz w:val="20"/>
          <w:szCs w:val="20"/>
        </w:rPr>
        <w:t>participantes</w:t>
      </w:r>
      <w:r>
        <w:rPr>
          <w:rFonts w:eastAsia="Zurich BT"/>
          <w:sz w:val="20"/>
          <w:szCs w:val="20"/>
        </w:rPr>
        <w:t xml:space="preserve">, procedendo à comparação com os valores da primeira colocada, se esta for empresa de maior porte, assim como das demais classificadas, para o fim de aplicar-se o disposto nos </w:t>
      </w:r>
      <w:r>
        <w:fldChar w:fldCharType="begin"/>
      </w:r>
      <w:r>
        <w:rPr>
          <w:rStyle w:val="LinkdaInternet"/>
          <w:sz w:val="20"/>
          <w:szCs w:val="20"/>
          <w:rFonts w:eastAsia="Zurich BT"/>
        </w:rPr>
        <w:instrText> HYPERLINK "https://www.planalto.gov.br/ccivil_03/leis/lcp/lcp123.htm" \l "art44"</w:instrText>
      </w:r>
      <w:r>
        <w:rPr>
          <w:rStyle w:val="LinkdaInternet"/>
          <w:sz w:val="20"/>
          <w:szCs w:val="20"/>
          <w:rFonts w:eastAsia="Zurich BT"/>
        </w:rPr>
        <w:fldChar w:fldCharType="separate"/>
      </w:r>
      <w:r>
        <w:rPr>
          <w:rStyle w:val="LinkdaInternet"/>
          <w:rFonts w:eastAsia="Zurich BT"/>
          <w:sz w:val="20"/>
          <w:szCs w:val="20"/>
        </w:rPr>
        <w:t>arts. 44 e 45 da Lei Complementar nº 123, de 2006</w:t>
      </w:r>
      <w:r>
        <w:rPr>
          <w:rStyle w:val="LinkdaInternet"/>
          <w:sz w:val="20"/>
          <w:szCs w:val="20"/>
          <w:rFonts w:eastAsia="Zurich BT"/>
        </w:rPr>
        <w:fldChar w:fldCharType="end"/>
      </w:r>
      <w:r>
        <w:rPr>
          <w:rFonts w:eastAsia="Zurich BT"/>
          <w:sz w:val="20"/>
          <w:szCs w:val="20"/>
        </w:rPr>
        <w:t xml:space="preserve">, regulamentada pelo </w:t>
      </w:r>
      <w:hyperlink r:id="rId14">
        <w:r>
          <w:rPr>
            <w:rStyle w:val="LinkdaInternet"/>
            <w:rFonts w:eastAsia="Zurich BT"/>
            <w:sz w:val="20"/>
            <w:szCs w:val="20"/>
          </w:rPr>
          <w:t>Decreto nº 8.538, de 2015</w:t>
        </w:r>
      </w:hyperlink>
      <w:r>
        <w:rPr>
          <w:rFonts w:eastAsia="Zurich BT"/>
          <w:sz w:val="20"/>
          <w:szCs w:val="20"/>
        </w:rPr>
        <w:t>.</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 xml:space="preserve">Nessas condições, as propostas de </w:t>
      </w:r>
      <w:r>
        <w:rPr>
          <w:rFonts w:eastAsia="Zurich BT"/>
          <w:sz w:val="20"/>
          <w:szCs w:val="20"/>
        </w:rPr>
        <w:t xml:space="preserve">microempresas e empresas de pequeno porte </w:t>
      </w:r>
      <w:r>
        <w:rPr>
          <w:sz w:val="20"/>
          <w:szCs w:val="20"/>
        </w:rPr>
        <w:t>que se encontrarem na faixa de até 5% (cinco por cento) acima da melhor proposta ou melhor lance serão consideradas empatadas com a primeira colocada.</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 xml:space="preserve">Caso a </w:t>
      </w:r>
      <w:r>
        <w:rPr>
          <w:rFonts w:eastAsia="Zurich BT"/>
          <w:sz w:val="20"/>
          <w:szCs w:val="20"/>
        </w:rPr>
        <w:t>microempresa ou a empresa de pequeno porte</w:t>
      </w:r>
      <w:r>
        <w:rPr>
          <w:sz w:val="20"/>
          <w:szCs w:val="20"/>
        </w:rPr>
        <w:t xml:space="preserve"> melhor classificada desista ou não se manifeste no prazo estabelecido, serão convocadas as demais licitantes </w:t>
      </w:r>
      <w:r>
        <w:rPr>
          <w:rFonts w:eastAsia="Zurich BT"/>
          <w:sz w:val="20"/>
          <w:szCs w:val="20"/>
        </w:rPr>
        <w:t>microempresa e empresa de pequeno porte</w:t>
      </w:r>
      <w:r>
        <w:rPr>
          <w:sz w:val="20"/>
          <w:szCs w:val="20"/>
        </w:rPr>
        <w:t xml:space="preserve"> que se encontrem naquele intervalo de 5% (cinco por cento), na ordem de classificação, para o exercício do mesmo direito, no prazo estabelecido no subitem anterior.</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Só poderá haver empate entre propostas iguais (não seguidas de lances), ou entre lances finais modo de disputa aberto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 xml:space="preserve">Havendo eventual empate entre propostas ou lances, o critério de desempate será aquele previsto no </w:t>
      </w:r>
      <w:r>
        <w:fldChar w:fldCharType="begin"/>
      </w:r>
      <w:r>
        <w:rPr>
          <w:rStyle w:val="LinkdaInternet"/>
          <w:sz w:val="20"/>
          <w:szCs w:val="20"/>
          <w:rFonts w:eastAsia="Arial"/>
        </w:rPr>
        <w:instrText> HYPERLINK "http://www.planalto.gov.br/ccivil_03/_ato2019-2022/2021/lei/L14133.htm" \l "art60"</w:instrText>
      </w:r>
      <w:r>
        <w:rPr>
          <w:rStyle w:val="LinkdaInternet"/>
          <w:sz w:val="20"/>
          <w:szCs w:val="20"/>
          <w:rFonts w:eastAsia="Arial"/>
        </w:rPr>
        <w:fldChar w:fldCharType="separate"/>
      </w:r>
      <w:r>
        <w:rPr>
          <w:rStyle w:val="LinkdaInternet"/>
          <w:rFonts w:eastAsia="Arial"/>
          <w:sz w:val="20"/>
          <w:szCs w:val="20"/>
        </w:rPr>
        <w:t>art</w:t>
      </w:r>
      <w:r>
        <w:rPr>
          <w:rStyle w:val="LinkdaInternet"/>
          <w:sz w:val="20"/>
          <w:szCs w:val="20"/>
          <w:rFonts w:eastAsia="Arial"/>
        </w:rPr>
        <w:fldChar w:fldCharType="end"/>
      </w:r>
      <w:r>
        <w:rPr>
          <w:rStyle w:val="LinkdaInternet"/>
          <w:sz w:val="20"/>
          <w:szCs w:val="20"/>
        </w:rPr>
        <w:t>. 60 da Lei nº 14.133, de 2021</w:t>
      </w:r>
      <w:r>
        <w:rPr>
          <w:sz w:val="20"/>
          <w:szCs w:val="20"/>
        </w:rPr>
        <w:t>, nesta ordem:</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disputa final, hipótese em que os licitantes empatados poderão apresentar nova proposta em ato contínuo à classificação;</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avaliação do desempenho contratual prévio dos licitantes, para a qual deverão preferencialmente ser utilizados registros cadastrais para efeito de atesto de cumprimento de obrigações previstos nesta Lei;</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desenvolvimento pelo licitante de ações de equidade entre homens e mulheres no ambiente de trabalho, conforme regulamento;</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desenvolvimento pelo licitante de programa de integridade, conforme orientações dos órgãos de controle.</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Persistindo o empate, será assegurada preferência, sucessivamente, aos bens e serviços produzidos ou prestados por:</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bookmarkStart w:id="24" w:name="art60§1i"/>
      <w:bookmarkEnd w:id="24"/>
      <w:r>
        <w:rPr>
          <w:sz w:val="20"/>
          <w:szCs w:val="20"/>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bookmarkStart w:id="25" w:name="art60§1ii"/>
      <w:bookmarkEnd w:id="25"/>
      <w:r>
        <w:rPr>
          <w:sz w:val="20"/>
          <w:szCs w:val="20"/>
        </w:rPr>
        <w:t>empresas brasileiras;</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bookmarkStart w:id="26" w:name="art60§1iii"/>
      <w:bookmarkEnd w:id="26"/>
      <w:r>
        <w:rPr>
          <w:sz w:val="20"/>
          <w:szCs w:val="20"/>
        </w:rPr>
        <w:t>empresas que invistam em pesquisa e no desenvolvimento de tecnologia no País;</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cs="Arial"/>
          <w:b/>
          <w:b/>
          <w:bCs/>
          <w:color w:val="5B5B5F"/>
          <w:sz w:val="26"/>
          <w:szCs w:val="26"/>
        </w:rPr>
      </w:pPr>
      <w:bookmarkStart w:id="27" w:name="art60§1iv"/>
      <w:bookmarkEnd w:id="27"/>
      <w:r>
        <w:rPr>
          <w:sz w:val="20"/>
          <w:szCs w:val="20"/>
        </w:rPr>
        <w:t>empresas que comprovem a prática de mitigação, nos termos da </w:t>
      </w:r>
      <w:r>
        <w:fldChar w:fldCharType="begin"/>
      </w:r>
      <w:r>
        <w:rPr>
          <w:rStyle w:val="LinkdaInternet"/>
          <w:sz w:val="20"/>
          <w:szCs w:val="20"/>
        </w:rPr>
        <w:instrText> HYPERLINK "https://www.planalto.gov.br/ccivil_03/_ato2007-2010/2009/lei/l12187.htm" \l ":~:text=LEI Nº 12.187%2C DE 29 DE DEZEMBRO DE 2009.&amp;text=Institui a Política Nacional sobre,PNMC e dá outras providências."</w:instrText>
      </w:r>
      <w:r>
        <w:rPr>
          <w:rStyle w:val="LinkdaInternet"/>
          <w:sz w:val="20"/>
          <w:szCs w:val="20"/>
        </w:rPr>
        <w:fldChar w:fldCharType="separate"/>
      </w:r>
      <w:r>
        <w:rPr>
          <w:rStyle w:val="LinkdaInternet"/>
          <w:sz w:val="20"/>
          <w:szCs w:val="20"/>
        </w:rPr>
        <w:t>Lei nº 12.187, de 29 de dezembro de 2009</w:t>
      </w:r>
      <w:r>
        <w:rPr>
          <w:rStyle w:val="LinkdaInternet"/>
          <w:sz w:val="20"/>
          <w:szCs w:val="20"/>
        </w:rPr>
        <w:fldChar w:fldCharType="end"/>
      </w:r>
      <w:r>
        <w:rPr>
          <w:sz w:val="20"/>
          <w:szCs w:val="20"/>
        </w:rPr>
        <w:t>.</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Encerrada a etapa de envio de lances da sessão pública, na hipótese da proposta do primeiro colocado permanecer acima do preço máximo ou inferior ao desconto definido para a contratação, o Agente de contratação poderá negociar condições mais vantajosas, após definido o resultado do julgamento.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rFonts w:eastAsia="Times New Roman"/>
          <w:sz w:val="20"/>
          <w:szCs w:val="20"/>
        </w:rPr>
        <w:t xml:space="preserve">A </w:t>
      </w:r>
      <w:r>
        <w:rPr>
          <w:sz w:val="20"/>
          <w:szCs w:val="20"/>
        </w:rPr>
        <w:t>negociação será realizada por meio do sistema, podendo ser acompanhada pelos demais licitantes.</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O resultado da negociação será divulgado a todos os licitantes e anexado aos autos do processo licitatório.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commentRangeStart w:id="10"/>
      <w:r>
        <w:rPr>
          <w:sz w:val="20"/>
          <w:szCs w:val="20"/>
        </w:rPr>
        <w:t xml:space="preserve">O Agente de contratação solicitará ao licitante mais bem classificado que, no prazo de </w:t>
      </w:r>
      <w:r>
        <w:rPr>
          <w:color w:val="000000"/>
          <w:sz w:val="20"/>
          <w:szCs w:val="20"/>
        </w:rPr>
        <w:t>2 (duas) horas,</w:t>
      </w:r>
      <w:r>
        <w:rPr>
          <w:sz w:val="20"/>
          <w:szCs w:val="20"/>
        </w:rPr>
        <w:t xml:space="preserve"> envie a proposta adequada ao último lance ofertado após a negociação realizada, acompanhada, se for o caso, dos documentos complementares, quando necessários à confirmação daqueles exigidos neste Edital e já apresentados.</w:t>
      </w:r>
      <w:bookmarkStart w:id="28" w:name="_Hlk117016948"/>
      <w:bookmarkEnd w:id="28"/>
      <w:commentRangeEnd w:id="10"/>
      <w:r>
        <w:commentReference w:id="10"/>
      </w:r>
      <w:r>
        <w:rPr>
          <w:sz w:val="20"/>
          <w:szCs w:val="20"/>
        </w:rPr>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É facultado ao Agente de contratação prorrogar o prazo estabelecido, a partir de solicitação fundamentada feita no chat pelo licitante, antes de findo o prazo.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bookmarkStart w:id="29" w:name="_Hlk114646655"/>
      <w:r>
        <w:rPr>
          <w:sz w:val="20"/>
          <w:szCs w:val="20"/>
        </w:rPr>
        <w:t>Após a negociação do preço, o Agente de contratação iniciará a fase de aceitação e julgamento da proposta.</w:t>
      </w:r>
      <w:bookmarkEnd w:id="29"/>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ind w:left="0" w:right="0" w:hanging="0"/>
        <w:rPr>
          <w:rFonts w:ascii="Arial" w:hAnsi="Arial"/>
          <w:sz w:val="20"/>
          <w:szCs w:val="20"/>
        </w:rPr>
      </w:pPr>
      <w:bookmarkStart w:id="30" w:name="_Toc135469229"/>
      <w:r>
        <w:rPr>
          <w:sz w:val="20"/>
          <w:szCs w:val="20"/>
        </w:rPr>
        <w:t>DA FASE DE JULGAMENTO</w:t>
      </w:r>
      <w:bookmarkEnd w:id="30"/>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bookmarkStart w:id="31" w:name="_Ref117019424"/>
      <w:r>
        <w:rPr>
          <w:sz w:val="20"/>
          <w:szCs w:val="20"/>
        </w:rPr>
        <w:t xml:space="preserve">Encerrada a etapa de negociação, o Agente de contratação verificará se o licitante provisoriamente classificado em primeiro lugar atende às condições de participação no certame, conforme previsto no </w:t>
      </w:r>
      <w:r>
        <w:fldChar w:fldCharType="begin"/>
      </w:r>
      <w:r>
        <w:rPr>
          <w:rStyle w:val="LinkdaInternet"/>
          <w:sz w:val="20"/>
          <w:szCs w:val="20"/>
        </w:rPr>
        <w:instrText> HYPERLINK "http://www.planalto.gov.br/ccivil_03/_ato2019-2022/2021/lei/L14133.htm" \l "art14"</w:instrText>
      </w:r>
      <w:r>
        <w:rPr>
          <w:rStyle w:val="LinkdaInternet"/>
          <w:sz w:val="20"/>
          <w:szCs w:val="20"/>
        </w:rPr>
        <w:fldChar w:fldCharType="separate"/>
      </w:r>
      <w:r>
        <w:rPr>
          <w:rStyle w:val="LinkdaInternet"/>
          <w:sz w:val="20"/>
          <w:szCs w:val="20"/>
        </w:rPr>
        <w:t>art. 14 da Lei nº 14.133/2021</w:t>
      </w:r>
      <w:r>
        <w:rPr>
          <w:rStyle w:val="LinkdaInternet"/>
          <w:sz w:val="20"/>
          <w:szCs w:val="20"/>
        </w:rPr>
        <w:fldChar w:fldCharType="end"/>
      </w:r>
      <w:r>
        <w:rPr>
          <w:sz w:val="20"/>
          <w:szCs w:val="20"/>
        </w:rPr>
        <w:t xml:space="preserve">, legislação correlata e no item </w:t>
      </w:r>
      <w:r>
        <w:rPr>
          <w:sz w:val="20"/>
          <w:szCs w:val="20"/>
        </w:rPr>
        <w:fldChar w:fldCharType="begin"/>
      </w:r>
      <w:r>
        <w:rPr>
          <w:sz w:val="20"/>
          <w:szCs w:val="20"/>
        </w:rPr>
        <w:instrText> REF _Ref117000692 \r \h </w:instrText>
      </w:r>
      <w:r>
        <w:rPr>
          <w:sz w:val="20"/>
          <w:szCs w:val="20"/>
        </w:rPr>
        <w:fldChar w:fldCharType="separate"/>
      </w:r>
      <w:r>
        <w:rPr>
          <w:sz w:val="20"/>
          <w:szCs w:val="20"/>
        </w:rPr>
        <w:t>2.10</w:t>
      </w:r>
      <w:r>
        <w:rPr>
          <w:sz w:val="20"/>
          <w:szCs w:val="20"/>
        </w:rPr>
        <w:fldChar w:fldCharType="end"/>
      </w:r>
      <w:r>
        <w:rPr>
          <w:sz w:val="20"/>
          <w:szCs w:val="20"/>
        </w:rPr>
        <w:t xml:space="preserve"> do edital, </w:t>
      </w:r>
      <w:bookmarkEnd w:id="31"/>
      <w:r>
        <w:rPr>
          <w:color w:val="auto"/>
          <w:sz w:val="20"/>
          <w:szCs w:val="20"/>
          <w:lang w:eastAsia="ar-SA"/>
        </w:rPr>
        <w:t>especialmente quanto à existência de sanção que impeça a participação no certame ou a futura contratação,</w:t>
      </w:r>
      <w:r>
        <w:rPr>
          <w:sz w:val="20"/>
          <w:szCs w:val="20"/>
          <w:lang w:eastAsia="ar-SA"/>
        </w:rPr>
        <w:t xml:space="preserve"> mediante a consulta aos seguintes cadastros:</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commentRangeStart w:id="11"/>
      <w:r>
        <w:rPr>
          <w:sz w:val="20"/>
          <w:szCs w:val="20"/>
          <w:lang w:eastAsia="ar-SA"/>
        </w:rPr>
        <w:t>Cadastro Nacional de Empresas Inidôneas e Suspensas - CEIS, mantido pela Controladoria-Geral da União (</w:t>
      </w:r>
      <w:hyperlink r:id="rId15">
        <w:r>
          <w:rPr>
            <w:rStyle w:val="LinkdaInternet"/>
            <w:sz w:val="20"/>
            <w:szCs w:val="20"/>
            <w:lang w:eastAsia="ar-SA"/>
          </w:rPr>
          <w:t>https://www.portaltransparencia.gov.br/sancoes/ceis</w:t>
        </w:r>
      </w:hyperlink>
      <w:r>
        <w:rPr>
          <w:sz w:val="20"/>
          <w:szCs w:val="20"/>
          <w:lang w:eastAsia="ar-SA"/>
        </w:rPr>
        <w:t xml:space="preserve">); e </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lang w:eastAsia="ar-SA"/>
        </w:rPr>
        <w:t>Cadastro Nacional de Empresas Punidas – CNEP, mantido pela Controladoria-Geral da União (</w:t>
      </w:r>
      <w:hyperlink r:id="rId16">
        <w:r>
          <w:rPr>
            <w:rStyle w:val="LinkdaInternet"/>
            <w:sz w:val="20"/>
            <w:szCs w:val="20"/>
            <w:lang w:eastAsia="ar-SA"/>
          </w:rPr>
          <w:t>https://www.portaltransparencia.gov.br/sancoes/cnep</w:t>
        </w:r>
      </w:hyperlink>
      <w:r>
        <w:rPr>
          <w:sz w:val="20"/>
          <w:szCs w:val="20"/>
          <w:lang w:eastAsia="ar-SA"/>
        </w:rPr>
        <w:t>).</w:t>
      </w:r>
      <w:commentRangeEnd w:id="11"/>
      <w:r>
        <w:commentReference w:id="11"/>
      </w:r>
      <w:r>
        <w:rPr>
          <w:sz w:val="20"/>
          <w:szCs w:val="20"/>
          <w:lang w:eastAsia="ar-SA"/>
        </w:rPr>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A consulta aos cadastros será realizada em nome da empresa licitante e também de seu sócio majoritário, por força da vedação de que trata o </w:t>
      </w:r>
      <w:r>
        <w:fldChar w:fldCharType="begin"/>
      </w:r>
      <w:r>
        <w:rPr>
          <w:rStyle w:val="LinkdaInternet"/>
          <w:sz w:val="20"/>
          <w:szCs w:val="20"/>
        </w:rPr>
        <w:instrText> HYPERLINK "https://www.planalto.gov.br/ccivil_03/leis/l8429.htm" \l ":~:text=às seguintes cominações%3A-,Art.,nº 12.120%2C de 2009)."</w:instrText>
      </w:r>
      <w:r>
        <w:rPr>
          <w:rStyle w:val="LinkdaInternet"/>
          <w:sz w:val="20"/>
          <w:szCs w:val="20"/>
        </w:rPr>
        <w:fldChar w:fldCharType="separate"/>
      </w:r>
      <w:r>
        <w:rPr>
          <w:rStyle w:val="LinkdaInternet"/>
          <w:sz w:val="20"/>
          <w:szCs w:val="20"/>
        </w:rPr>
        <w:t>artigo 12 da Lei n° 8.429, de 1992</w:t>
      </w:r>
      <w:r>
        <w:rPr>
          <w:rStyle w:val="LinkdaInternet"/>
          <w:sz w:val="20"/>
          <w:szCs w:val="20"/>
        </w:rPr>
        <w:fldChar w:fldCharType="end"/>
      </w:r>
      <w:r>
        <w:rPr>
          <w:sz w:val="20"/>
          <w:szCs w:val="20"/>
        </w:rPr>
        <w:t>.</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Caso conste na Consulta de Situação do l</w:t>
      </w:r>
      <w:r>
        <w:rPr>
          <w:color w:val="auto"/>
          <w:sz w:val="20"/>
          <w:szCs w:val="20"/>
        </w:rPr>
        <w:t xml:space="preserve">icitante </w:t>
      </w:r>
      <w:r>
        <w:rPr>
          <w:sz w:val="20"/>
          <w:szCs w:val="20"/>
        </w:rPr>
        <w:t>a existência de Ocorrências Impeditivas Indiretas, o Agente de Contratação</w:t>
      </w:r>
      <w:r>
        <w:rPr>
          <w:color w:val="auto"/>
          <w:sz w:val="20"/>
          <w:szCs w:val="20"/>
        </w:rPr>
        <w:t xml:space="preserve"> diligenciará para v</w:t>
      </w:r>
      <w:r>
        <w:rPr>
          <w:sz w:val="20"/>
          <w:szCs w:val="20"/>
        </w:rPr>
        <w:t>erificar se houve fraude por parte das empresas apontadas no Relatório de Ocorrências Impeditivas Indiretas. (</w:t>
      </w:r>
      <w:r>
        <w:fldChar w:fldCharType="begin"/>
      </w:r>
      <w:r>
        <w:rPr>
          <w:rStyle w:val="LinkdaInternet"/>
          <w:sz w:val="20"/>
          <w:szCs w:val="20"/>
        </w:rPr>
        <w:instrText> HYPERLINK "https://www.gov.br/compras/pt-br/acesso-a-informacao/legislacao/instrucoes-normativas/instrucao-normativa-no-3-de-26-de-abril-de-2018" \l "art29"</w:instrText>
      </w:r>
      <w:r>
        <w:rPr>
          <w:rStyle w:val="LinkdaInternet"/>
          <w:sz w:val="20"/>
          <w:szCs w:val="20"/>
        </w:rPr>
        <w:fldChar w:fldCharType="separate"/>
      </w:r>
      <w:r>
        <w:rPr>
          <w:rStyle w:val="LinkdaInternet"/>
          <w:sz w:val="20"/>
          <w:szCs w:val="20"/>
        </w:rPr>
        <w:t xml:space="preserve">IN nº 3/2018, art. 29, </w:t>
      </w:r>
      <w:r>
        <w:rPr>
          <w:rStyle w:val="LinkdaInternet"/>
          <w:sz w:val="20"/>
          <w:szCs w:val="20"/>
        </w:rPr>
        <w:fldChar w:fldCharType="end"/>
      </w:r>
      <w:r>
        <w:rPr>
          <w:rStyle w:val="LinkdaInternet"/>
          <w:i/>
          <w:iCs/>
          <w:sz w:val="20"/>
          <w:szCs w:val="20"/>
        </w:rPr>
        <w:t>caput</w:t>
      </w:r>
      <w:r>
        <w:rPr>
          <w:sz w:val="20"/>
          <w:szCs w:val="20"/>
        </w:rPr>
        <w:t>)</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A tentativa de burla será verificada por meio dos vínculos societários, linhas de fornecimento similares, dentre outros. (</w:t>
      </w:r>
      <w:hyperlink r:id="rId17">
        <w:r>
          <w:rPr>
            <w:rStyle w:val="LinkdaInternet"/>
            <w:sz w:val="20"/>
            <w:szCs w:val="20"/>
          </w:rPr>
          <w:t>IN nº 3/2018, art. 29, §1º</w:t>
        </w:r>
      </w:hyperlink>
      <w:r>
        <w:rPr>
          <w:sz w:val="20"/>
          <w:szCs w:val="20"/>
        </w:rPr>
        <w:t>).</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O licitante será convocado para manifestação previamente a uma eventual desclassificação. (</w:t>
      </w:r>
      <w:hyperlink r:id="rId18">
        <w:r>
          <w:rPr>
            <w:rStyle w:val="LinkdaInternet"/>
            <w:sz w:val="20"/>
            <w:szCs w:val="20"/>
          </w:rPr>
          <w:t>IN nº 3/2018, art. 29, §2º</w:t>
        </w:r>
      </w:hyperlink>
      <w:r>
        <w:rPr>
          <w:sz w:val="20"/>
          <w:szCs w:val="20"/>
        </w:rPr>
        <w:t>).</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Constatada a existência de sanção, o licitante será reputado inabilitado, por falta de condição de participação.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Caso o licitante provisoriamente classificado em primeiro lugar tenha se utilizado de algum tratamento favorecido às ME/EPPs, o Agente de contratação verificará se faz jus ao benefício, em conformidade  deste edital.</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Verificadas as condições de participação e de utilização do tratamento favorecido, o Agente de contratação examinará a proposta classificada em primeiro lugar quanto à adequação ao objeto e à compatibilidade do preço em relação ao máximo estipulado para contratação neste Edital e em seus anexos, observado o disposto no </w:t>
      </w:r>
      <w:r>
        <w:fldChar w:fldCharType="begin"/>
      </w:r>
      <w:r>
        <w:rPr>
          <w:rStyle w:val="LinkdaInternet"/>
          <w:sz w:val="20"/>
          <w:szCs w:val="20"/>
        </w:rPr>
        <w:instrText> HYPERLINK "https://www.gov.br/compras/pt-br/acesso-a-informacao/legislacao/instrucoes-normativas/instrucao-normativa-seges-me-no-73-de-30-de-setembro-de-2022" \l "art29"</w:instrText>
      </w:r>
      <w:r>
        <w:rPr>
          <w:rStyle w:val="LinkdaInternet"/>
          <w:sz w:val="20"/>
          <w:szCs w:val="20"/>
        </w:rPr>
        <w:fldChar w:fldCharType="separate"/>
      </w:r>
      <w:r>
        <w:rPr>
          <w:rStyle w:val="LinkdaInternet"/>
          <w:sz w:val="20"/>
          <w:szCs w:val="20"/>
        </w:rPr>
        <w:t>artigo 29 a 35 da IN SEGES nº 73, de 30 de setembro de 2022</w:t>
      </w:r>
      <w:r>
        <w:rPr>
          <w:rStyle w:val="LinkdaInternet"/>
          <w:sz w:val="20"/>
          <w:szCs w:val="20"/>
        </w:rPr>
        <w:fldChar w:fldCharType="end"/>
      </w:r>
      <w:r>
        <w:rPr>
          <w:sz w:val="20"/>
          <w:szCs w:val="20"/>
        </w:rPr>
        <w:t>.</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 xml:space="preserve">Será desclassificada a proposta vencedora que: </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contiver vícios insanáveis;</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não obedecer às especificações técnicas contidas no Termo de Referência;</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apresentar preços inexequíveis ou permanecerem acima do preço máximo definido para a contratação;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não tiverem sua exequibilidade demonstrada, quando exigido pela Administração;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apresentar desconformidade com quaisquer outras exigências deste Edital ou seus anexos, desde que insanável.</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No caso de bens e serviços em geral, é indício de inexequibilidade das propostas valores inferiores a 50% (cinquenta por cento) do valor orçado pela Administração.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 xml:space="preserve">A inexequibilidade, na hipótese de que trata o </w:t>
      </w:r>
      <w:r>
        <w:rPr>
          <w:b/>
          <w:bCs/>
          <w:sz w:val="20"/>
          <w:szCs w:val="20"/>
        </w:rPr>
        <w:t>caput</w:t>
      </w:r>
      <w:r>
        <w:rPr>
          <w:sz w:val="20"/>
          <w:szCs w:val="20"/>
        </w:rPr>
        <w:t>, só será considerada após diligência do Agente de contratação, que comprove:</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que o custo do licitante ultrapassa o valor da proposta; e</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inexistirem custos de oportunidade capazes de justificar o vulto da oferta.</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Erros no preenchimento da planilha não constituem motivo para a desclassificação da proposta. A planilha poderáa ser ajustada pelo fornecedor, no prazo indicado pelo sistema, desde que não haja majoração do preço e que se comprove que este é o bastante para arcar com todos os custos da contratação;</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 ajuste de que trata este dispositivo se limita a sanar erros ou falhas que não alterem a substância das propostas;</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Considera-se erro no preenchimento da planilha passível de correção a indicação de recolhimento de impostos e contribuições na forma do Simples Nacional, quando não cabível esse regime.</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color w:val="000000"/>
          <w:sz w:val="20"/>
          <w:szCs w:val="20"/>
          <w:shd w:fill="FFFFFF" w:val="clear"/>
          <w:lang w:eastAsia="en-US"/>
        </w:rPr>
        <w:t xml:space="preserve">Para </w:t>
      </w:r>
      <w:r>
        <w:rPr>
          <w:color w:val="000000"/>
          <w:sz w:val="20"/>
          <w:szCs w:val="20"/>
          <w:shd w:fill="FFFFFF" w:val="clear"/>
        </w:rPr>
        <w:t>fins</w:t>
      </w:r>
      <w:r>
        <w:rPr>
          <w:color w:val="000000"/>
          <w:sz w:val="20"/>
          <w:szCs w:val="20"/>
          <w:shd w:fill="FFFFFF" w:val="clear"/>
          <w:lang w:eastAsia="en-US"/>
        </w:rPr>
        <w:t xml:space="preserve"> de análise da proposta quanto ao cumprimento </w:t>
      </w:r>
      <w:r>
        <w:rPr>
          <w:color w:val="000000"/>
          <w:sz w:val="20"/>
          <w:szCs w:val="20"/>
          <w:shd w:fill="FFFFFF" w:val="clear"/>
        </w:rPr>
        <w:t>das</w:t>
      </w:r>
      <w:r>
        <w:rPr>
          <w:color w:val="000000"/>
          <w:sz w:val="20"/>
          <w:szCs w:val="20"/>
          <w:shd w:fill="FFFFFF" w:val="clear"/>
          <w:lang w:eastAsia="en-US"/>
        </w:rPr>
        <w:t xml:space="preserve"> especificações do objeto, poderá ser colhida a </w:t>
      </w:r>
      <w:r>
        <w:rPr>
          <w:color w:val="000000"/>
          <w:sz w:val="20"/>
          <w:szCs w:val="20"/>
          <w:shd w:fill="FFFFFF" w:val="clear"/>
        </w:rPr>
        <w:t>manifestação</w:t>
      </w:r>
      <w:r>
        <w:rPr>
          <w:color w:val="000000"/>
          <w:sz w:val="20"/>
          <w:szCs w:val="20"/>
          <w:shd w:fill="FFFFFF" w:val="clear"/>
          <w:lang w:eastAsia="en-US"/>
        </w:rPr>
        <w:t xml:space="preserve"> escrita do setor requisitante do serviço ou da área especializada no objeto.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Caso o Termo de Referência exija a apresentação de </w:t>
      </w:r>
      <w:commentRangeStart w:id="12"/>
      <w:r>
        <w:rPr>
          <w:sz w:val="20"/>
          <w:szCs w:val="20"/>
        </w:rPr>
        <w:t>amostra</w:t>
      </w:r>
      <w:r>
        <w:rPr>
          <w:sz w:val="20"/>
          <w:szCs w:val="20"/>
        </w:rPr>
      </w:r>
      <w:commentRangeEnd w:id="12"/>
      <w:r>
        <w:commentReference w:id="12"/>
      </w:r>
      <w:r>
        <w:rPr>
          <w:sz w:val="20"/>
          <w:szCs w:val="20"/>
        </w:rPr>
        <w:t>, o licitante classificado em primeiro lugar deverá apresentá-la, conforme disciplinado no Termo de Referência, sob pena de não aceitação da proposta.</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Os resultados das avaliações serão divulgados por meio de mensagem no sistema.</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No caso de não haver entrega da amostra ou ocorrer atraso na entrega, sem justificativa aceita pelo Agente de contratação, ou havendo entrega de amostra fora das especificações previstas neste Edital, a proposta do licitante será recusada.</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 xml:space="preserve">Se a(s) amostra(s) apresentada(s) pelo primeiro classificado não for(em) aceita(s), o Agente de contratação analisará a aceitabilidade da proposta ou lance ofertado pelo segundo classificado. Seguir-se-á com a verificação da(s) amostra(s) e, assim, sucessivamente, até a verificação de uma que atenda às especificações constantes no Termo de Referência. </w:t>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ind w:left="0" w:right="0" w:hanging="0"/>
        <w:rPr>
          <w:rFonts w:ascii="Arial" w:hAnsi="Arial"/>
          <w:sz w:val="20"/>
          <w:szCs w:val="20"/>
        </w:rPr>
      </w:pPr>
      <w:bookmarkStart w:id="32" w:name="_Toc135469230"/>
      <w:r>
        <w:rPr>
          <w:sz w:val="20"/>
          <w:szCs w:val="20"/>
        </w:rPr>
        <w:t>DA FASE DE HABILITAÇÃO</w:t>
      </w:r>
      <w:bookmarkEnd w:id="32"/>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Os documentos previstos no Termo de Referência, necessários e suficientes para demonstrar a capacidade do licitante de realizar o objeto da licitação, serão exigidos para fins de habilitação, nos termos dos </w:t>
      </w:r>
      <w:r>
        <w:fldChar w:fldCharType="begin"/>
      </w:r>
      <w:r>
        <w:rPr>
          <w:rStyle w:val="LinkdaInternet"/>
          <w:sz w:val="20"/>
          <w:szCs w:val="20"/>
        </w:rPr>
        <w:instrText> HYPERLINK "http://www.planalto.gov.br/ccivil_03/_ato2019-2022/2021/lei/L14133.htm" \l "art62"</w:instrText>
      </w:r>
      <w:r>
        <w:rPr>
          <w:rStyle w:val="LinkdaInternet"/>
          <w:sz w:val="20"/>
          <w:szCs w:val="20"/>
        </w:rPr>
        <w:fldChar w:fldCharType="separate"/>
      </w:r>
      <w:r>
        <w:rPr>
          <w:rStyle w:val="LinkdaInternet"/>
          <w:sz w:val="20"/>
          <w:szCs w:val="20"/>
        </w:rPr>
        <w:t>arts. 62 a 70 da Lei nº 14.133, de 2021</w:t>
      </w:r>
      <w:r>
        <w:rPr>
          <w:rStyle w:val="LinkdaInternet"/>
          <w:sz w:val="20"/>
          <w:szCs w:val="20"/>
        </w:rPr>
        <w:fldChar w:fldCharType="end"/>
      </w:r>
      <w:r>
        <w:rPr>
          <w:sz w:val="20"/>
          <w:szCs w:val="20"/>
        </w:rPr>
        <w:t>.</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commentRangeStart w:id="13"/>
      <w:r>
        <w:rPr>
          <w:sz w:val="20"/>
          <w:szCs w:val="20"/>
        </w:rPr>
        <w:t>Será verificado se o licitante apresentou declaração de que atende aos requisitos de habilitação, e o declarante responderá pela veracidade das informações prestadas, na forma da lei (</w:t>
      </w:r>
      <w:r>
        <w:fldChar w:fldCharType="begin"/>
      </w:r>
      <w:r>
        <w:rPr>
          <w:rStyle w:val="LinkdaInternet"/>
          <w:sz w:val="20"/>
          <w:szCs w:val="20"/>
        </w:rPr>
        <w:instrText> HYPERLINK "http://www.planalto.gov.br/ccivil_03/_ato2019-2022/2021/lei/L14133.htm" \l "art63"</w:instrText>
      </w:r>
      <w:r>
        <w:rPr>
          <w:rStyle w:val="LinkdaInternet"/>
          <w:sz w:val="20"/>
          <w:szCs w:val="20"/>
        </w:rPr>
        <w:fldChar w:fldCharType="separate"/>
      </w:r>
      <w:r>
        <w:rPr>
          <w:rStyle w:val="LinkdaInternet"/>
          <w:sz w:val="20"/>
          <w:szCs w:val="20"/>
        </w:rPr>
        <w:t>art. 63, I, da Lei nº 14.133/2021</w:t>
      </w:r>
      <w:r>
        <w:rPr>
          <w:rStyle w:val="LinkdaInternet"/>
          <w:sz w:val="20"/>
          <w:szCs w:val="20"/>
        </w:rPr>
        <w:fldChar w:fldCharType="end"/>
      </w:r>
      <w:r>
        <w:rPr>
          <w:sz w:val="20"/>
          <w:szCs w:val="20"/>
        </w:rPr>
        <w:t>).</w:t>
      </w:r>
      <w:commentRangeEnd w:id="13"/>
      <w:r>
        <w:commentReference w:id="13"/>
      </w:r>
      <w:r>
        <w:rPr>
          <w:sz w:val="20"/>
          <w:szCs w:val="20"/>
        </w:rPr>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 licitante deverá apresentar, sob pena de desclassificação, declaração de que suas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Somente haverá a necessidade de comprovação do preenchimento de requisitos mediante apresentação dos documentos originais não-digitais quando houver dúvida em relação à integridade do documento digital ou quando a lei expressamente o exigir. (</w:t>
      </w:r>
      <w:r>
        <w:fldChar w:fldCharType="begin"/>
      </w:r>
      <w:r>
        <w:rPr>
          <w:rStyle w:val="LinkdaInternet"/>
          <w:sz w:val="20"/>
          <w:szCs w:val="20"/>
        </w:rPr>
        <w:instrText> HYPERLINK "https://www.gov.br/compras/pt-br/acesso-a-informacao/legislacao/instrucoes-normativas/instrucao-normativa-no-3-de-26-de-abril-de-2018" \l "art4"</w:instrText>
      </w:r>
      <w:r>
        <w:rPr>
          <w:rStyle w:val="LinkdaInternet"/>
          <w:sz w:val="20"/>
          <w:szCs w:val="20"/>
        </w:rPr>
        <w:fldChar w:fldCharType="separate"/>
      </w:r>
      <w:r>
        <w:rPr>
          <w:rStyle w:val="LinkdaInternet"/>
          <w:sz w:val="20"/>
          <w:szCs w:val="20"/>
        </w:rPr>
        <w:t>IN nº 3/2018, art. 4º, §1º, e art. 6º, §4º</w:t>
      </w:r>
      <w:r>
        <w:rPr>
          <w:rStyle w:val="LinkdaInternet"/>
          <w:sz w:val="20"/>
          <w:szCs w:val="20"/>
        </w:rPr>
        <w:fldChar w:fldCharType="end"/>
      </w:r>
      <w:r>
        <w:rPr>
          <w:sz w:val="20"/>
          <w:szCs w:val="20"/>
        </w:rPr>
        <w:t>).</w:t>
      </w:r>
    </w:p>
    <w:p>
      <w:pPr>
        <w:pStyle w:val="Nivel2"/>
        <w:widowControl/>
        <w:numPr>
          <w:ilvl w:val="1"/>
          <w:numId w:val="1"/>
        </w:numPr>
        <w:suppressAutoHyphens w:val="true"/>
        <w:overflowPunct w:val="true"/>
        <w:bidi w:val="0"/>
        <w:spacing w:lineRule="auto" w:line="240" w:before="0" w:after="0"/>
        <w:ind w:left="0" w:right="0" w:firstLine="624"/>
        <w:jc w:val="both"/>
        <w:rPr>
          <w:rFonts w:ascii="Arial" w:hAnsi="Arial"/>
          <w:sz w:val="20"/>
          <w:szCs w:val="20"/>
        </w:rPr>
      </w:pPr>
      <w:r>
        <w:rPr>
          <w:sz w:val="20"/>
          <w:szCs w:val="20"/>
        </w:rPr>
        <w:t>A verificação pelo Agente de contratação, em sítios eletrônicos oficiais de órgãos e entidades emissores de certidões constitui meio legal de prova, para fins de habilitação.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bookmarkStart w:id="33" w:name="_Ref114663151"/>
      <w:bookmarkEnd w:id="33"/>
      <w:r>
        <w:rPr>
          <w:sz w:val="20"/>
          <w:szCs w:val="20"/>
        </w:rPr>
        <w:t>Os documentos relativos à regularidade fiscal que constem do Termo de Referência somente serão exigidos, em qualquer caso, em momento posterior ao julgamento das propostas, e apenas do licitante mais bem classificado.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commentRangeStart w:id="14"/>
      <w:r>
        <w:rPr>
          <w:sz w:val="20"/>
          <w:szCs w:val="20"/>
        </w:rPr>
        <w:t>Após a entrega dos documentos para habilitação, não será permitida a substituição ou a apresentação de novos documentos, salvo em sede de diligência, para (</w:t>
      </w:r>
      <w:r>
        <w:fldChar w:fldCharType="begin"/>
      </w:r>
      <w:r>
        <w:rPr>
          <w:rStyle w:val="LinkdaInternet"/>
          <w:sz w:val="20"/>
          <w:szCs w:val="20"/>
        </w:rPr>
        <w:instrText> HYPERLINK "http://www.planalto.gov.br/ccivil_03/_ato2019-2022/2021/lei/L14133.htm" \l "art64"</w:instrText>
      </w:r>
      <w:r>
        <w:rPr>
          <w:rStyle w:val="LinkdaInternet"/>
          <w:sz w:val="20"/>
          <w:szCs w:val="20"/>
        </w:rPr>
        <w:fldChar w:fldCharType="separate"/>
      </w:r>
      <w:r>
        <w:rPr>
          <w:rStyle w:val="LinkdaInternet"/>
          <w:sz w:val="20"/>
          <w:szCs w:val="20"/>
        </w:rPr>
        <w:t>Lei 14.133/21, art. 64</w:t>
      </w:r>
      <w:r>
        <w:rPr>
          <w:rStyle w:val="LinkdaInternet"/>
          <w:sz w:val="20"/>
          <w:szCs w:val="20"/>
        </w:rPr>
        <w:fldChar w:fldCharType="end"/>
      </w:r>
      <w:r>
        <w:rPr>
          <w:sz w:val="20"/>
          <w:szCs w:val="20"/>
        </w:rPr>
        <w:t xml:space="preserve">, e </w:t>
      </w:r>
      <w:hyperlink r:id="rId19">
        <w:r>
          <w:rPr>
            <w:rStyle w:val="LinkdaInternet"/>
            <w:sz w:val="20"/>
            <w:szCs w:val="20"/>
          </w:rPr>
          <w:t>IN 73/2022, art. 39, §4º</w:t>
        </w:r>
      </w:hyperlink>
      <w:r>
        <w:rPr>
          <w:sz w:val="20"/>
          <w:szCs w:val="20"/>
        </w:rPr>
        <w:t>):</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complementação de informações acerca dos documentos já apresentados pelos licitantes e desde que necessária para apurar fatos existentes à época da abertura do certame; e</w:t>
      </w:r>
      <w:commentRangeEnd w:id="14"/>
      <w:r>
        <w:commentReference w:id="14"/>
      </w:r>
      <w:r>
        <w:rPr>
          <w:sz w:val="20"/>
          <w:szCs w:val="20"/>
        </w:rPr>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atualização de documentos cuja validade tenha expirado após a data de recebimento das propostas;</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bookmarkStart w:id="34" w:name="_Ref114670319"/>
      <w:r>
        <w:rPr>
          <w:sz w:val="20"/>
          <w:szCs w:val="20"/>
        </w:rPr>
        <w:t xml:space="preserve">Na análise dos documentos de habilitação, </w:t>
      </w:r>
      <w:r>
        <w:rPr>
          <w:rFonts w:eastAsia="ＭＳ 明朝" w:cs="Arial"/>
          <w:color w:val="000000"/>
          <w:kern w:val="0"/>
          <w:sz w:val="20"/>
          <w:szCs w:val="20"/>
          <w:lang w:val="pt-BR" w:eastAsia="pt-BR" w:bidi="ar-SA"/>
        </w:rPr>
        <w:t>o Agente de contratação</w:t>
      </w:r>
      <w:r>
        <w:rPr>
          <w:sz w:val="20"/>
          <w:szCs w:val="20"/>
        </w:rPr>
        <w:t xml:space="preserve"> poderá sanar erros ou falhas, que não alterem a substância dos documentos e sua validade jurídica, mediante decisão fundamentada, registrada em ata e acessível a todos, atribuindo-lhes eﬁcácia para fins de habilitação e classificação.</w:t>
      </w:r>
      <w:bookmarkEnd w:id="34"/>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bookmarkStart w:id="35" w:name="_Ref114665528"/>
      <w:r>
        <w:rPr>
          <w:sz w:val="20"/>
          <w:szCs w:val="20"/>
        </w:rPr>
        <w:t xml:space="preserve">Na hipótese de o licitante não atender às exigências para habilitação, o Agente de contratação examinará a proposta subsequente e assim sucessivamente, na ordem de classificação, até a apuração de uma proposta que atenda ao presente edital, observado o prazo disposto no subitem </w:t>
      </w:r>
      <w:r>
        <w:rPr>
          <w:sz w:val="20"/>
          <w:szCs w:val="20"/>
        </w:rPr>
        <w:fldChar w:fldCharType="begin"/>
      </w:r>
      <w:r>
        <w:rPr>
          <w:sz w:val="20"/>
          <w:szCs w:val="20"/>
        </w:rPr>
        <w:instrText> REF _Ref114663151 \r \h </w:instrText>
      </w:r>
      <w:r>
        <w:rPr>
          <w:sz w:val="20"/>
          <w:szCs w:val="20"/>
        </w:rPr>
        <w:fldChar w:fldCharType="separate"/>
      </w:r>
      <w:r>
        <w:rPr>
          <w:sz w:val="20"/>
          <w:szCs w:val="20"/>
        </w:rPr>
        <w:t>7.5.1</w:t>
      </w:r>
      <w:r>
        <w:rPr>
          <w:sz w:val="20"/>
          <w:szCs w:val="20"/>
        </w:rPr>
        <w:fldChar w:fldCharType="end"/>
      </w:r>
      <w:r>
        <w:rPr>
          <w:sz w:val="20"/>
          <w:szCs w:val="20"/>
        </w:rPr>
        <w:t>.</w:t>
      </w:r>
      <w:bookmarkEnd w:id="35"/>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bookmarkStart w:id="36" w:name="_Ref114665515"/>
      <w:r>
        <w:rPr>
          <w:sz w:val="20"/>
          <w:szCs w:val="20"/>
        </w:rPr>
        <w:t>Somente serão disponibilizados para acesso público os documentos de habilitação do licitante cuja proposta atenda ao edital de licitação, após concluídos os procedimentos de que trata o subitem anterior</w:t>
      </w:r>
      <w:bookmarkEnd w:id="36"/>
      <w:r>
        <w:rPr>
          <w:sz w:val="20"/>
          <w:szCs w:val="20"/>
        </w:rPr>
        <w:t>.</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A comprovação de regularidade fiscal e trabalhista das microempresas e das empresas de pequeno porte somente será exigida para efeito de contratação, e não como condição para participação na licitação (</w:t>
      </w:r>
      <w:r>
        <w:fldChar w:fldCharType="begin"/>
      </w:r>
      <w:r>
        <w:rPr>
          <w:rStyle w:val="LinkdaInternet"/>
          <w:sz w:val="20"/>
          <w:u w:val="none"/>
          <w:szCs w:val="20"/>
          <w:color w:val="000000"/>
        </w:rPr>
        <w:instrText> HYPERLINK "https://www.planalto.gov.br/ccivil_03/_ato2015-2018/2015/decreto/d8538.htm" \l "art4"</w:instrText>
      </w:r>
      <w:r>
        <w:rPr>
          <w:rStyle w:val="LinkdaInternet"/>
          <w:sz w:val="20"/>
          <w:u w:val="none"/>
          <w:szCs w:val="20"/>
          <w:color w:val="000000"/>
        </w:rPr>
        <w:fldChar w:fldCharType="separate"/>
      </w:r>
      <w:r>
        <w:rPr>
          <w:rStyle w:val="LinkdaInternet"/>
          <w:color w:val="000000"/>
          <w:sz w:val="20"/>
          <w:szCs w:val="20"/>
          <w:u w:val="none"/>
        </w:rPr>
        <w:t>art. 4º do Decreto nº 8.538/2015</w:t>
      </w:r>
      <w:r>
        <w:rPr>
          <w:rStyle w:val="LinkdaInternet"/>
          <w:sz w:val="20"/>
          <w:u w:val="none"/>
          <w:szCs w:val="20"/>
          <w:color w:val="000000"/>
        </w:rPr>
        <w:fldChar w:fldCharType="end"/>
      </w:r>
      <w:r>
        <w:rPr>
          <w:sz w:val="20"/>
          <w:szCs w:val="20"/>
        </w:rPr>
        <w:t>).</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Quando a fase de habilitação anteceder a de julgamento e já tiver sido encerrada, não caberá exclusão de licitante por motivo relacionado à habilitação, salvo em razão de fatos supervenientes ou só conhecidos após o julgamento.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color w:val="000000"/>
          <w:sz w:val="20"/>
          <w:szCs w:val="20"/>
        </w:rPr>
      </w:pPr>
      <w:r>
        <w:rPr>
          <w:rFonts w:cs="Arial"/>
          <w:color w:val="000000"/>
          <w:sz w:val="20"/>
          <w:szCs w:val="20"/>
        </w:rPr>
        <w:t>Na hipótese de não constar prazo de validade nas certidões apresentadas, a Administração aceitará como válidas as expedidas até 6 (seis) meses anteriores à data de apresentação das propostas.</w:t>
      </w:r>
    </w:p>
    <w:p>
      <w:pPr>
        <w:pStyle w:val="Nivel2"/>
        <w:numPr>
          <w:ilvl w:val="0"/>
          <w:numId w:val="0"/>
        </w:numPr>
        <w:spacing w:lineRule="auto" w:line="240" w:before="0" w:after="0"/>
        <w:ind w:left="0" w:right="0" w:hanging="0"/>
        <w:rPr>
          <w:rFonts w:cs="Arial"/>
          <w:color w:val="000000"/>
        </w:rPr>
      </w:pPr>
      <w:r>
        <w:rPr>
          <w:rFonts w:cs="Arial"/>
          <w:color w:val="000000"/>
        </w:rPr>
      </w:r>
    </w:p>
    <w:p>
      <w:pPr>
        <w:pStyle w:val="Nivel01"/>
        <w:numPr>
          <w:ilvl w:val="0"/>
          <w:numId w:val="1"/>
        </w:numPr>
        <w:spacing w:lineRule="auto" w:line="240" w:before="0" w:after="0"/>
        <w:ind w:left="0" w:right="0" w:hanging="0"/>
        <w:rPr>
          <w:rFonts w:ascii="Arial" w:hAnsi="Arial" w:cs="Arial"/>
          <w:b/>
          <w:b/>
          <w:bCs/>
          <w:color w:val="5B5B5F"/>
          <w:sz w:val="26"/>
          <w:szCs w:val="26"/>
        </w:rPr>
      </w:pPr>
      <w:commentRangeStart w:id="15"/>
      <w:r>
        <w:rPr>
          <w:sz w:val="20"/>
          <w:szCs w:val="20"/>
          <w:shd w:fill="FFFFFF" w:val="clear"/>
        </w:rPr>
        <w:t>DO CONTRATO</w:t>
      </w:r>
      <w:commentRangeEnd w:id="15"/>
      <w:r>
        <w:commentReference w:id="15"/>
      </w:r>
      <w:r>
        <w:rPr>
          <w:sz w:val="20"/>
          <w:szCs w:val="20"/>
          <w:shd w:fill="FFFFFF" w:val="clear"/>
        </w:rPr>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shd w:fill="FFFFFF" w:val="clear"/>
        </w:rPr>
      </w:pPr>
      <w:r>
        <w:rPr>
          <w:sz w:val="20"/>
          <w:szCs w:val="20"/>
          <w:shd w:fill="FFFFFF" w:val="clear"/>
        </w:rPr>
        <w:t xml:space="preserve">Homologado o resultado da licitação, o licitante mais bem classificado terá o prazo de 5 (cinco) dias, contados a partir da data de sua convocação, para assinar o contrato, cujo prazo de validade encontra-se nela fixado, sob pena de decadência do direito à contratação, sem prejuízo das sanções previstas na Lei nº 14.133, de 2021. </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commentRangeStart w:id="16"/>
      <w:r>
        <w:rPr>
          <w:sz w:val="20"/>
          <w:szCs w:val="20"/>
          <w:shd w:fill="FFFFFF" w:val="clear"/>
        </w:rPr>
        <w:t xml:space="preserve">O prazo de convocação </w:t>
      </w:r>
      <w:r>
        <w:rPr>
          <w:sz w:val="20"/>
          <w:szCs w:val="20"/>
          <w:shd w:fill="FFFFFF" w:val="clear"/>
        </w:rPr>
      </w:r>
      <w:commentRangeEnd w:id="16"/>
      <w:r>
        <w:commentReference w:id="16"/>
      </w:r>
      <w:r>
        <w:rPr>
          <w:sz w:val="20"/>
          <w:szCs w:val="20"/>
          <w:shd w:fill="FFFFFF" w:val="clear"/>
        </w:rPr>
        <w:t>poderá ser prorrogado uma vez, por igual período, mediante solicitação do licitante mais bem classificado ou do fornecedor convocado, desde que:</w:t>
      </w:r>
    </w:p>
    <w:p>
      <w:pPr>
        <w:pStyle w:val="Nivel2"/>
        <w:widowControl/>
        <w:numPr>
          <w:ilvl w:val="0"/>
          <w:numId w:val="0"/>
        </w:numPr>
        <w:tabs>
          <w:tab w:val="left" w:pos="0" w:leader="none"/>
        </w:tabs>
        <w:suppressAutoHyphens w:val="true"/>
        <w:overflowPunct w:val="true"/>
        <w:bidi w:val="0"/>
        <w:spacing w:lineRule="auto" w:line="240" w:before="0" w:after="0"/>
        <w:ind w:left="567" w:right="0" w:hanging="0"/>
        <w:jc w:val="both"/>
        <w:rPr>
          <w:rFonts w:ascii="Arial" w:hAnsi="Arial" w:cs="Arial"/>
          <w:b/>
          <w:b/>
          <w:bCs/>
          <w:color w:val="5B5B5F"/>
          <w:sz w:val="26"/>
          <w:szCs w:val="26"/>
        </w:rPr>
      </w:pPr>
      <w:r>
        <w:rPr>
          <w:iCs/>
          <w:color w:val="000000"/>
          <w:sz w:val="20"/>
          <w:szCs w:val="20"/>
          <w:shd w:fill="FFFFFF" w:val="clear"/>
        </w:rPr>
        <w:t>(a) a solicitação seja devidamente justificada e apresentada dentro do prazo; e</w:t>
      </w:r>
    </w:p>
    <w:p>
      <w:pPr>
        <w:pStyle w:val="Nivel2"/>
        <w:widowControl/>
        <w:numPr>
          <w:ilvl w:val="0"/>
          <w:numId w:val="0"/>
        </w:numPr>
        <w:tabs>
          <w:tab w:val="left" w:pos="0" w:leader="none"/>
        </w:tabs>
        <w:suppressAutoHyphens w:val="true"/>
        <w:overflowPunct w:val="true"/>
        <w:bidi w:val="0"/>
        <w:spacing w:lineRule="auto" w:line="240" w:before="0" w:after="0"/>
        <w:ind w:left="567" w:right="0" w:hanging="0"/>
        <w:jc w:val="both"/>
        <w:rPr>
          <w:rFonts w:ascii="Arial" w:hAnsi="Arial"/>
          <w:iCs/>
          <w:color w:val="000000"/>
          <w:sz w:val="20"/>
          <w:szCs w:val="20"/>
          <w:shd w:fill="FFFFFF" w:val="clear"/>
        </w:rPr>
      </w:pPr>
      <w:r>
        <w:rPr>
          <w:iCs/>
          <w:color w:val="000000"/>
          <w:sz w:val="20"/>
          <w:szCs w:val="20"/>
          <w:shd w:fill="FFFFFF" w:val="clear"/>
        </w:rPr>
        <w:t>(b) a justificativa apresentada seja aceita pela Administração.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rFonts w:eastAsia="ＭＳ 明朝" w:cs="Arial"/>
          <w:color w:val="000000"/>
          <w:kern w:val="0"/>
          <w:sz w:val="20"/>
          <w:szCs w:val="20"/>
          <w:shd w:fill="FFFFFF" w:val="clear"/>
          <w:lang w:val="pt-BR" w:eastAsia="pt-BR" w:bidi="ar-SA"/>
        </w:rPr>
        <w:t xml:space="preserve">O contrato </w:t>
      </w:r>
      <w:r>
        <w:rPr>
          <w:sz w:val="20"/>
          <w:szCs w:val="20"/>
          <w:shd w:fill="FFFFFF" w:val="clear"/>
        </w:rPr>
        <w:t xml:space="preserve">será assinado por meio de assinatura digital e disponibilizada no sistema de </w:t>
      </w:r>
      <w:r>
        <w:rPr>
          <w:rFonts w:eastAsia="ＭＳ 明朝" w:cs="Arial"/>
          <w:color w:val="000000"/>
          <w:kern w:val="0"/>
          <w:sz w:val="20"/>
          <w:szCs w:val="20"/>
          <w:shd w:fill="FFFFFF" w:val="clear"/>
          <w:lang w:val="pt-BR" w:eastAsia="pt-BR" w:bidi="ar-SA"/>
        </w:rPr>
        <w:t>contratos</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shd w:fill="FFFFFF" w:val="clear"/>
        </w:rPr>
        <w:t xml:space="preserve">O preço </w:t>
      </w:r>
      <w:r>
        <w:rPr>
          <w:rFonts w:eastAsia="ＭＳ 明朝" w:cs="Arial"/>
          <w:color w:val="000000"/>
          <w:kern w:val="0"/>
          <w:sz w:val="20"/>
          <w:szCs w:val="20"/>
          <w:shd w:fill="FFFFFF" w:val="clear"/>
          <w:lang w:val="pt-BR" w:eastAsia="pt-BR" w:bidi="ar-SA"/>
        </w:rPr>
        <w:t>contratado</w:t>
      </w:r>
      <w:r>
        <w:rPr>
          <w:sz w:val="20"/>
          <w:szCs w:val="20"/>
          <w:shd w:fill="FFFFFF" w:val="clear"/>
        </w:rPr>
        <w:t xml:space="preserve">, com a indicação do fornecedor, será </w:t>
      </w:r>
      <w:commentRangeStart w:id="17"/>
      <w:r>
        <w:rPr>
          <w:sz w:val="20"/>
          <w:szCs w:val="20"/>
          <w:shd w:fill="FFFFFF" w:val="clear"/>
        </w:rPr>
        <w:t xml:space="preserve">divulgado no PNCP </w:t>
      </w:r>
      <w:r>
        <w:rPr>
          <w:sz w:val="20"/>
          <w:szCs w:val="20"/>
          <w:shd w:fill="FFFFFF" w:val="clear"/>
        </w:rPr>
      </w:r>
      <w:commentRangeEnd w:id="17"/>
      <w:r>
        <w:commentReference w:id="17"/>
      </w:r>
      <w:r>
        <w:rPr>
          <w:sz w:val="20"/>
          <w:szCs w:val="20"/>
          <w:shd w:fill="FFFFFF" w:val="clear"/>
        </w:rPr>
        <w:t xml:space="preserve">e disponibilizado durante a vigência </w:t>
      </w:r>
      <w:r>
        <w:rPr>
          <w:rFonts w:eastAsia="ＭＳ 明朝" w:cs="Arial"/>
          <w:color w:val="000000"/>
          <w:kern w:val="0"/>
          <w:sz w:val="20"/>
          <w:szCs w:val="20"/>
          <w:shd w:fill="FFFFFF" w:val="clear"/>
          <w:lang w:val="pt-BR" w:eastAsia="pt-BR" w:bidi="ar-SA"/>
        </w:rPr>
        <w:t>do contrato.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shd w:fill="FFFFFF" w:val="clear"/>
        </w:rPr>
        <w:t xml:space="preserve">Na hipótese de o </w:t>
      </w:r>
      <w:commentRangeStart w:id="18"/>
      <w:r>
        <w:rPr>
          <w:sz w:val="20"/>
          <w:szCs w:val="20"/>
          <w:shd w:fill="FFFFFF" w:val="clear"/>
        </w:rPr>
        <w:t xml:space="preserve">convocado não assinar </w:t>
      </w:r>
      <w:r>
        <w:rPr>
          <w:sz w:val="20"/>
          <w:szCs w:val="20"/>
          <w:shd w:fill="FFFFFF" w:val="clear"/>
        </w:rPr>
      </w:r>
      <w:commentRangeEnd w:id="18"/>
      <w:r>
        <w:commentReference w:id="18"/>
      </w:r>
      <w:r>
        <w:rPr>
          <w:rFonts w:eastAsia="ＭＳ 明朝" w:cs="Arial"/>
          <w:color w:val="000000"/>
          <w:kern w:val="0"/>
          <w:sz w:val="20"/>
          <w:szCs w:val="20"/>
          <w:shd w:fill="FFFFFF" w:val="clear"/>
          <w:lang w:val="pt-BR" w:eastAsia="pt-BR" w:bidi="ar-SA"/>
        </w:rPr>
        <w:t xml:space="preserve">o contrato </w:t>
      </w:r>
      <w:r>
        <w:rPr>
          <w:sz w:val="20"/>
          <w:szCs w:val="20"/>
          <w:shd w:fill="FFFFFF" w:val="clear"/>
        </w:rPr>
        <w:t>no prazo e nas condições estabelecidas, fica facultado à Administração convocar os licitantes remanescentes, na ordem de classificação, para fazê-lo em igual prazo e nas condições propostas pelo primeiro classificado.</w:t>
      </w:r>
    </w:p>
    <w:p>
      <w:pPr>
        <w:pStyle w:val="Nivel2"/>
        <w:numPr>
          <w:ilvl w:val="0"/>
          <w:numId w:val="0"/>
        </w:numPr>
        <w:spacing w:lineRule="auto" w:line="240" w:before="0" w:after="0"/>
        <w:ind w:left="0" w:right="0" w:hanging="0"/>
        <w:rPr>
          <w:shd w:fill="FFFFFF" w:val="clear"/>
        </w:rPr>
      </w:pPr>
      <w:r>
        <w:rPr>
          <w:shd w:fill="FFFFFF" w:val="clear"/>
        </w:rPr>
      </w:r>
    </w:p>
    <w:p>
      <w:pPr>
        <w:pStyle w:val="Nivel01"/>
        <w:numPr>
          <w:ilvl w:val="0"/>
          <w:numId w:val="1"/>
        </w:numPr>
        <w:spacing w:lineRule="auto" w:line="240" w:before="0" w:after="0"/>
        <w:ind w:left="0" w:right="0" w:hanging="0"/>
        <w:rPr>
          <w:rFonts w:ascii="Arial" w:hAnsi="Arial"/>
          <w:sz w:val="20"/>
          <w:szCs w:val="20"/>
        </w:rPr>
      </w:pPr>
      <w:bookmarkStart w:id="37" w:name="_Toc135469233"/>
      <w:r>
        <w:rPr>
          <w:sz w:val="20"/>
          <w:szCs w:val="20"/>
        </w:rPr>
        <w:t>DOS RECURSOS</w:t>
      </w:r>
      <w:bookmarkEnd w:id="37"/>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A interposição de recurso referente ao julgamento das propostas, à habilitação ou inabilitação de licitantes, à anulação ou revogação da licitação, observará o disposto no </w:t>
      </w:r>
      <w:r>
        <w:fldChar w:fldCharType="begin"/>
      </w:r>
      <w:r>
        <w:rPr>
          <w:rStyle w:val="LinkdaInternet"/>
          <w:sz w:val="20"/>
          <w:u w:val="none"/>
          <w:szCs w:val="20"/>
          <w:color w:val="000000"/>
        </w:rPr>
        <w:instrText> HYPERLINK "http://www.planalto.gov.br/ccivil_03/_ato2019-2022/2021/lei/L14133.htm" \l "art165"</w:instrText>
      </w:r>
      <w:r>
        <w:rPr>
          <w:rStyle w:val="LinkdaInternet"/>
          <w:sz w:val="20"/>
          <w:u w:val="none"/>
          <w:szCs w:val="20"/>
          <w:color w:val="000000"/>
        </w:rPr>
        <w:fldChar w:fldCharType="separate"/>
      </w:r>
      <w:r>
        <w:rPr>
          <w:rStyle w:val="LinkdaInternet"/>
          <w:color w:val="000000"/>
          <w:sz w:val="20"/>
          <w:szCs w:val="20"/>
          <w:u w:val="none"/>
        </w:rPr>
        <w:t>art. 165 da Lei nº 14.133, de 2021</w:t>
      </w:r>
      <w:r>
        <w:rPr>
          <w:rStyle w:val="LinkdaInternet"/>
          <w:sz w:val="20"/>
          <w:u w:val="none"/>
          <w:szCs w:val="20"/>
          <w:color w:val="000000"/>
        </w:rPr>
        <w:fldChar w:fldCharType="end"/>
      </w:r>
      <w:r>
        <w:rPr>
          <w:sz w:val="20"/>
          <w:szCs w:val="20"/>
        </w:rPr>
        <w:t>.</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 prazo recursal é de 3 (três) dias úteis, contados da data de intimação ou de lavratura da ata.</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Quando o recurso apresentado impugnar o julgamento das propostas ou o ato de habilitação ou inabilitação do licitante:</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 intenção de recorrer deverá ser manifestada imediatamente, sob pena de preclusão;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shd w:fill="FFFFFF" w:val="clear"/>
        </w:rPr>
      </w:pPr>
      <w:bookmarkStart w:id="38" w:name="_Hlk135318381"/>
      <w:r>
        <w:rPr>
          <w:sz w:val="20"/>
          <w:szCs w:val="20"/>
          <w:shd w:fill="FFFFFF" w:val="clear"/>
        </w:rPr>
        <w:t>o prazo para a manifestação da intenção de recorrer não será inferior a 10 (dez) minutos.</w:t>
      </w:r>
      <w:bookmarkStart w:id="39" w:name="_Hlk135315794"/>
      <w:bookmarkEnd w:id="38"/>
      <w:bookmarkEnd w:id="39"/>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o prazo para apresentação das razões recursais será iniciado na data de intimação ou de lavratura da ata de habilitação ou inabilitação;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sz w:val="20"/>
          <w:szCs w:val="20"/>
        </w:rPr>
        <w:t>na hipótese de adoção da inversão de fases prevista no </w:t>
      </w:r>
      <w:r>
        <w:fldChar w:fldCharType="begin"/>
      </w:r>
      <w:r>
        <w:rPr>
          <w:rStyle w:val="LinkdaInternet"/>
          <w:sz w:val="20"/>
          <w:u w:val="none"/>
          <w:szCs w:val="20"/>
          <w:color w:val="000000"/>
        </w:rPr>
        <w:instrText> HYPERLINK "http://www.planalto.gov.br/ccivil_03/_ato2019-2022/2021/lei/L14133.htm" \l "art17§1"</w:instrText>
      </w:r>
      <w:r>
        <w:rPr>
          <w:rStyle w:val="LinkdaInternet"/>
          <w:sz w:val="20"/>
          <w:u w:val="none"/>
          <w:szCs w:val="20"/>
          <w:color w:val="000000"/>
        </w:rPr>
        <w:fldChar w:fldCharType="separate"/>
      </w:r>
      <w:r>
        <w:rPr>
          <w:rStyle w:val="LinkdaInternet"/>
          <w:color w:val="000000"/>
          <w:sz w:val="20"/>
          <w:szCs w:val="20"/>
          <w:u w:val="none"/>
        </w:rPr>
        <w:t>§ 1º do art. 17 da Lei nº 14.133, de 2021</w:t>
      </w:r>
      <w:r>
        <w:rPr>
          <w:rStyle w:val="LinkdaInternet"/>
          <w:sz w:val="20"/>
          <w:u w:val="none"/>
          <w:szCs w:val="20"/>
          <w:color w:val="000000"/>
        </w:rPr>
        <w:fldChar w:fldCharType="end"/>
      </w:r>
      <w:r>
        <w:rPr>
          <w:sz w:val="20"/>
          <w:szCs w:val="20"/>
        </w:rPr>
        <w:t>, o prazo para apresentação das razões recursais será iniciado na data de intimação da ata de julgamento.</w:t>
      </w:r>
    </w:p>
    <w:p>
      <w:pPr>
        <w:pStyle w:val="Nivel2"/>
        <w:widowControl/>
        <w:numPr>
          <w:ilvl w:val="1"/>
          <w:numId w:val="1"/>
        </w:numPr>
        <w:overflowPunct w:val="true"/>
        <w:bidi w:val="0"/>
        <w:spacing w:lineRule="auto" w:line="240" w:before="0" w:after="0"/>
        <w:ind w:left="0" w:right="0" w:firstLine="567"/>
        <w:rPr>
          <w:rFonts w:ascii="Arial" w:hAnsi="Arial"/>
          <w:sz w:val="20"/>
          <w:szCs w:val="20"/>
        </w:rPr>
      </w:pPr>
      <w:r>
        <w:rPr>
          <w:sz w:val="20"/>
          <w:szCs w:val="20"/>
        </w:rPr>
        <w:t>Os recursos deverão ser encaminhados em campo próprio do sistema.</w:t>
      </w:r>
    </w:p>
    <w:p>
      <w:pPr>
        <w:pStyle w:val="Nivel2"/>
        <w:widowControl/>
        <w:numPr>
          <w:ilvl w:val="1"/>
          <w:numId w:val="1"/>
        </w:numPr>
        <w:overflowPunct w:val="true"/>
        <w:bidi w:val="0"/>
        <w:spacing w:lineRule="auto" w:line="240" w:before="0" w:after="0"/>
        <w:ind w:left="0" w:right="0" w:firstLine="567"/>
        <w:rPr>
          <w:rFonts w:ascii="Arial" w:hAnsi="Arial"/>
          <w:sz w:val="20"/>
          <w:szCs w:val="20"/>
        </w:rPr>
      </w:pPr>
      <w:r>
        <w:rPr>
          <w:sz w:val="20"/>
          <w:szCs w:val="2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pPr>
        <w:pStyle w:val="Nivel2"/>
        <w:widowControl/>
        <w:numPr>
          <w:ilvl w:val="1"/>
          <w:numId w:val="1"/>
        </w:numPr>
        <w:overflowPunct w:val="true"/>
        <w:bidi w:val="0"/>
        <w:spacing w:lineRule="auto" w:line="240" w:before="0" w:after="0"/>
        <w:ind w:left="0" w:right="0" w:firstLine="567"/>
        <w:rPr>
          <w:rFonts w:ascii="Arial" w:hAnsi="Arial"/>
          <w:sz w:val="20"/>
          <w:szCs w:val="20"/>
        </w:rPr>
      </w:pPr>
      <w:r>
        <w:rPr>
          <w:sz w:val="20"/>
          <w:szCs w:val="20"/>
        </w:rPr>
        <w:t xml:space="preserve">Os recursos interpostos fora do prazo não serão conhecidos. </w:t>
      </w:r>
    </w:p>
    <w:p>
      <w:pPr>
        <w:pStyle w:val="Nivel2"/>
        <w:widowControl/>
        <w:numPr>
          <w:ilvl w:val="1"/>
          <w:numId w:val="1"/>
        </w:numPr>
        <w:overflowPunct w:val="true"/>
        <w:bidi w:val="0"/>
        <w:spacing w:lineRule="auto" w:line="240" w:before="0" w:after="0"/>
        <w:ind w:left="0" w:right="0" w:firstLine="567"/>
        <w:rPr>
          <w:rFonts w:ascii="Arial" w:hAnsi="Arial"/>
          <w:sz w:val="20"/>
          <w:szCs w:val="20"/>
        </w:rPr>
      </w:pPr>
      <w:r>
        <w:rPr>
          <w:sz w:val="20"/>
          <w:szCs w:val="2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pPr>
        <w:pStyle w:val="Nivel2"/>
        <w:widowControl/>
        <w:numPr>
          <w:ilvl w:val="1"/>
          <w:numId w:val="1"/>
        </w:numPr>
        <w:overflowPunct w:val="true"/>
        <w:bidi w:val="0"/>
        <w:spacing w:lineRule="auto" w:line="240" w:before="0" w:after="0"/>
        <w:ind w:left="0" w:right="0" w:firstLine="567"/>
        <w:rPr>
          <w:rFonts w:ascii="Arial" w:hAnsi="Arial"/>
          <w:sz w:val="20"/>
          <w:szCs w:val="20"/>
        </w:rPr>
      </w:pPr>
      <w:r>
        <w:rPr>
          <w:sz w:val="20"/>
          <w:szCs w:val="20"/>
        </w:rPr>
        <w:t xml:space="preserve">O recurso e o pedido de reconsideração terão efeito suspensivo do ato ou da decisão recorrida até que sobrevenha decisão final da autoridade competente. </w:t>
      </w:r>
    </w:p>
    <w:p>
      <w:pPr>
        <w:pStyle w:val="Nivel2"/>
        <w:widowControl/>
        <w:numPr>
          <w:ilvl w:val="1"/>
          <w:numId w:val="1"/>
        </w:numPr>
        <w:suppressAutoHyphens w:val="false"/>
        <w:overflowPunct w:val="true"/>
        <w:bidi w:val="0"/>
        <w:spacing w:lineRule="auto" w:line="240" w:before="0" w:after="0"/>
        <w:ind w:left="0" w:right="0" w:firstLine="567"/>
        <w:rPr>
          <w:rFonts w:ascii="Arial" w:hAnsi="Arial"/>
          <w:sz w:val="20"/>
          <w:szCs w:val="20"/>
        </w:rPr>
      </w:pPr>
      <w:r>
        <w:rPr>
          <w:sz w:val="20"/>
          <w:szCs w:val="20"/>
        </w:rPr>
        <w:t xml:space="preserve">O acolhimento do recurso invalida tão somente os atos insuscetíveis de aproveitamento. </w:t>
      </w:r>
    </w:p>
    <w:p>
      <w:pPr>
        <w:pStyle w:val="Nivel2"/>
        <w:widowControl/>
        <w:numPr>
          <w:ilvl w:val="1"/>
          <w:numId w:val="1"/>
        </w:numPr>
        <w:suppressAutoHyphens w:val="false"/>
        <w:overflowPunct w:val="true"/>
        <w:bidi w:val="0"/>
        <w:spacing w:lineRule="auto" w:line="240" w:before="0" w:after="0"/>
        <w:ind w:left="0" w:right="0" w:firstLine="567"/>
        <w:jc w:val="left"/>
        <w:rPr>
          <w:rFonts w:ascii="Arial" w:hAnsi="Arial" w:cs="Arial"/>
          <w:b/>
          <w:b/>
          <w:bCs/>
          <w:color w:val="5B5B5F"/>
          <w:sz w:val="26"/>
          <w:szCs w:val="26"/>
        </w:rPr>
      </w:pPr>
      <w:r>
        <w:rPr>
          <w:sz w:val="20"/>
          <w:szCs w:val="20"/>
        </w:rPr>
        <w:t>Os autos do processo permanecerão com vista franqueada aos interessados no sítio eletrônico</w:t>
      </w:r>
      <w:r>
        <w:rPr>
          <w:color w:val="0000FF"/>
          <w:sz w:val="20"/>
          <w:szCs w:val="20"/>
        </w:rPr>
        <w:t xml:space="preserve"> </w:t>
      </w:r>
      <w:hyperlink r:id="rId20">
        <w:r>
          <w:rPr>
            <w:rStyle w:val="LinkdaInternet"/>
            <w:rFonts w:cs="Arial"/>
            <w:b/>
            <w:bCs/>
            <w:color w:val="0000FF"/>
            <w:sz w:val="20"/>
            <w:szCs w:val="20"/>
          </w:rPr>
          <w:t>http://sistemas.eparaguacu.sp.gov.br:8079/comprasedital/</w:t>
        </w:r>
      </w:hyperlink>
      <w:r>
        <w:rPr>
          <w:rStyle w:val="LinkdaInternet"/>
          <w:rFonts w:cs="Arial"/>
          <w:b/>
          <w:bCs/>
          <w:color w:val="0000FF"/>
          <w:sz w:val="20"/>
          <w:szCs w:val="20"/>
        </w:rPr>
        <w:t xml:space="preserve">, </w:t>
      </w:r>
      <w:hyperlink r:id="rId21">
        <w:r>
          <w:rPr>
            <w:rStyle w:val="LinkdaInternet"/>
            <w:b/>
            <w:bCs/>
            <w:color w:val="0000FF"/>
            <w:sz w:val="20"/>
            <w:szCs w:val="20"/>
          </w:rPr>
          <w:t>www.eparaguacu.sp.gov.br</w:t>
        </w:r>
      </w:hyperlink>
      <w:r>
        <w:rPr>
          <w:rStyle w:val="LinkdaInternet"/>
          <w:rFonts w:cs="Arial"/>
          <w:b/>
          <w:bCs/>
          <w:color w:val="0000FF"/>
          <w:sz w:val="20"/>
          <w:szCs w:val="20"/>
        </w:rPr>
        <w:t xml:space="preserve"> e </w:t>
      </w:r>
      <w:r>
        <w:rPr>
          <w:rStyle w:val="LinkdaInternet"/>
          <w:rFonts w:eastAsia="Calibri" w:cs="Arial"/>
          <w:b/>
          <w:bCs/>
          <w:color w:val="0000FF"/>
          <w:sz w:val="20"/>
          <w:szCs w:val="20"/>
        </w:rPr>
        <w:t>www.gov.br/pncp/pt-br</w:t>
      </w:r>
    </w:p>
    <w:p>
      <w:pPr>
        <w:pStyle w:val="Nivel2"/>
        <w:numPr>
          <w:ilvl w:val="0"/>
          <w:numId w:val="0"/>
        </w:numPr>
        <w:suppressAutoHyphens w:val="false"/>
        <w:spacing w:lineRule="auto" w:line="240" w:before="0" w:after="0"/>
        <w:ind w:left="0" w:right="0" w:hanging="0"/>
        <w:jc w:val="left"/>
        <w:rPr>
          <w:rStyle w:val="LinkdaInternet"/>
          <w:rFonts w:ascii="Arial" w:hAnsi="Arial" w:eastAsia="Calibri" w:cs="Arial"/>
          <w:b/>
          <w:b/>
          <w:bCs/>
          <w:color w:val="0000FF"/>
          <w:sz w:val="20"/>
          <w:szCs w:val="20"/>
        </w:rPr>
      </w:pPr>
      <w:r>
        <w:rPr>
          <w:rFonts w:eastAsia="Calibri" w:cs="Arial"/>
          <w:b/>
          <w:bCs/>
          <w:color w:val="0000FF"/>
          <w:sz w:val="20"/>
          <w:szCs w:val="20"/>
        </w:rPr>
      </w:r>
    </w:p>
    <w:p>
      <w:pPr>
        <w:pStyle w:val="Nivel01"/>
        <w:numPr>
          <w:ilvl w:val="0"/>
          <w:numId w:val="1"/>
        </w:numPr>
        <w:spacing w:lineRule="auto" w:line="240" w:before="0" w:after="0"/>
        <w:ind w:left="0" w:right="0" w:hanging="0"/>
        <w:rPr>
          <w:rFonts w:ascii="Arial" w:hAnsi="Arial" w:cs="Arial"/>
          <w:b/>
          <w:b/>
          <w:bCs/>
          <w:color w:val="5B5B5F"/>
          <w:sz w:val="26"/>
          <w:szCs w:val="26"/>
        </w:rPr>
      </w:pPr>
      <w:commentRangeStart w:id="19"/>
      <w:r>
        <w:rPr>
          <w:sz w:val="20"/>
          <w:szCs w:val="20"/>
        </w:rPr>
        <w:t>DAS INFRAÇÕES ADMINISTRATIVAS E SANÇÕES</w:t>
      </w:r>
      <w:bookmarkStart w:id="40" w:name="_Toc135469234"/>
      <w:bookmarkEnd w:id="40"/>
      <w:commentRangeEnd w:id="19"/>
      <w:r>
        <w:commentReference w:id="19"/>
      </w:r>
      <w:r>
        <w:rPr>
          <w:sz w:val="20"/>
          <w:szCs w:val="20"/>
        </w:rPr>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 xml:space="preserve">Comete infração administrativa, nos termos da lei, o licitante que, com dolo ou culpa: </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bookmarkStart w:id="41" w:name="_Ref114668085"/>
      <w:r>
        <w:rPr>
          <w:sz w:val="20"/>
          <w:szCs w:val="20"/>
        </w:rPr>
        <w:t>deixar de entregar a documentação exigida para o certame ou não entregar qualquer documento que tenha sido solicitado pelo/a Agente de contratação/a durante o certame;</w:t>
      </w:r>
      <w:bookmarkEnd w:id="41"/>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bookmarkStart w:id="42" w:name="_Ref114668108"/>
      <w:r>
        <w:rPr>
          <w:sz w:val="20"/>
          <w:szCs w:val="20"/>
        </w:rPr>
        <w:t>Salvo em decorrência de fato superveniente devidamente justificado, não mantiver a proposta em especial quando:</w:t>
      </w:r>
      <w:bookmarkEnd w:id="42"/>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 xml:space="preserve">não enviar a proposta adequada ao último lance ofertado ou após a negociação; </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 xml:space="preserve">recusar-se a enviar o detalhamento da proposta quando exigível; </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 xml:space="preserve">pedir para ser desclassificado quando encerrada a etapa competitiva; ou </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deixar de apresentar amostra;</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 xml:space="preserve">apresentar proposta ou amostra em desacordo com as especificações do edital; </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bookmarkStart w:id="43" w:name="_Ref114668139"/>
      <w:r>
        <w:rPr>
          <w:sz w:val="20"/>
          <w:szCs w:val="20"/>
        </w:rPr>
        <w:t>não celebrar o contrato ou não entregar a documentação exigida para a contratação, quando convocado dentro do prazo de validade de sua proposta;</w:t>
      </w:r>
      <w:bookmarkEnd w:id="43"/>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recusar-se, sem justificativa, a assinar o contrato ou a ata de registro de preço, ou a aceitar ou retirar o instrumento equivalente no prazo estabelecido pela Administração;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bookmarkStart w:id="44" w:name="_Ref114668249"/>
      <w:r>
        <w:rPr>
          <w:sz w:val="20"/>
          <w:szCs w:val="20"/>
        </w:rPr>
        <w:t>apresentar declaração ou documentação falsa exigida para o certame ou prestar declaração falsa durante a licitação</w:t>
      </w:r>
      <w:bookmarkEnd w:id="44"/>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bookmarkStart w:id="45" w:name="_Ref114668245"/>
      <w:r>
        <w:rPr>
          <w:sz w:val="20"/>
          <w:szCs w:val="20"/>
        </w:rPr>
        <w:t>fraudar a licitação</w:t>
      </w:r>
      <w:bookmarkEnd w:id="45"/>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bookmarkStart w:id="46" w:name="_Ref114668247"/>
      <w:r>
        <w:rPr>
          <w:sz w:val="20"/>
          <w:szCs w:val="20"/>
        </w:rPr>
        <w:t>comportar-se de modo inidôneo ou cometer fraude de qualquer natureza, em especial quando:</w:t>
      </w:r>
      <w:bookmarkEnd w:id="46"/>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 xml:space="preserve">agir em conluio ou em desconformidade com a lei; </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 xml:space="preserve">induzir deliberadamente a erro no julgamento; </w:t>
      </w:r>
    </w:p>
    <w:p>
      <w:pPr>
        <w:pStyle w:val="Nivel4"/>
        <w:widowControl/>
        <w:numPr>
          <w:ilvl w:val="3"/>
          <w:numId w:val="1"/>
        </w:numPr>
        <w:suppressAutoHyphens w:val="true"/>
        <w:overflowPunct w:val="true"/>
        <w:bidi w:val="0"/>
        <w:spacing w:lineRule="auto" w:line="240" w:before="0" w:after="0"/>
        <w:ind w:left="0" w:right="0" w:firstLine="1417"/>
        <w:jc w:val="both"/>
        <w:rPr>
          <w:rFonts w:ascii="Arial" w:hAnsi="Arial"/>
          <w:sz w:val="20"/>
          <w:szCs w:val="20"/>
        </w:rPr>
      </w:pPr>
      <w:r>
        <w:rPr>
          <w:sz w:val="20"/>
          <w:szCs w:val="20"/>
        </w:rPr>
        <w:t xml:space="preserve">apresentar amostra falsificada ou deteriorada; </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bookmarkStart w:id="47" w:name="_Ref114668251"/>
      <w:r>
        <w:rPr>
          <w:sz w:val="20"/>
          <w:szCs w:val="20"/>
        </w:rPr>
        <w:t>praticar atos ilícitos com vistas a frustrar os objetivos da licitação</w:t>
      </w:r>
      <w:bookmarkEnd w:id="47"/>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bookmarkStart w:id="48" w:name="_Ref114668252"/>
      <w:r>
        <w:rPr>
          <w:sz w:val="20"/>
          <w:szCs w:val="20"/>
        </w:rPr>
        <w:t xml:space="preserve">praticar ato lesivo previsto no </w:t>
      </w:r>
      <w:r>
        <w:fldChar w:fldCharType="begin"/>
      </w:r>
      <w:r>
        <w:rPr>
          <w:rStyle w:val="LinkdaInternet"/>
          <w:sz w:val="20"/>
          <w:u w:val="none"/>
          <w:szCs w:val="20"/>
          <w:color w:val="000000"/>
        </w:rPr>
        <w:instrText> HYPERLINK "https://www.planalto.gov.br/ccivil_03/_ato2011-2014/2013/lei/l12846.htm" \l "art5"</w:instrText>
      </w:r>
      <w:r>
        <w:rPr>
          <w:rStyle w:val="LinkdaInternet"/>
          <w:sz w:val="20"/>
          <w:u w:val="none"/>
          <w:szCs w:val="20"/>
          <w:color w:val="000000"/>
        </w:rPr>
        <w:fldChar w:fldCharType="separate"/>
      </w:r>
      <w:r>
        <w:rPr>
          <w:rStyle w:val="LinkdaInternet"/>
          <w:color w:val="000000"/>
          <w:sz w:val="20"/>
          <w:szCs w:val="20"/>
          <w:u w:val="none"/>
        </w:rPr>
        <w:t>art. 5º da Lei n.º 12.846, de 2013</w:t>
      </w:r>
      <w:r>
        <w:rPr>
          <w:rStyle w:val="LinkdaInternet"/>
          <w:sz w:val="20"/>
          <w:u w:val="none"/>
          <w:szCs w:val="20"/>
          <w:color w:val="000000"/>
        </w:rPr>
        <w:fldChar w:fldCharType="end"/>
      </w:r>
      <w:r>
        <w:rPr>
          <w:sz w:val="20"/>
          <w:szCs w:val="20"/>
        </w:rPr>
        <w:t>.</w:t>
      </w:r>
      <w:bookmarkEnd w:id="48"/>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Com fulcro na </w:t>
      </w:r>
      <w:hyperlink r:id="rId22">
        <w:r>
          <w:rPr>
            <w:rStyle w:val="LinkdaInternet"/>
            <w:sz w:val="20"/>
            <w:szCs w:val="20"/>
          </w:rPr>
          <w:t>Lei nº 14.133, de 2021</w:t>
        </w:r>
      </w:hyperlink>
      <w:r>
        <w:rPr>
          <w:sz w:val="20"/>
          <w:szCs w:val="20"/>
        </w:rPr>
        <w:t xml:space="preserve">, a Administração poderá, garantida a prévia defesa, aplicar aos licitantes e/ou adjudicatários as seguintes sanções, sem prejuízo das responsabilidades civil e criminal: </w:t>
      </w:r>
    </w:p>
    <w:p>
      <w:pPr>
        <w:pStyle w:val="Nivel3"/>
        <w:widowControl/>
        <w:numPr>
          <w:ilvl w:val="2"/>
          <w:numId w:val="1"/>
        </w:numPr>
        <w:tabs>
          <w:tab w:val="left" w:pos="0" w:leader="none"/>
        </w:tabs>
        <w:suppressAutoHyphens w:val="true"/>
        <w:overflowPunct w:val="true"/>
        <w:bidi w:val="0"/>
        <w:spacing w:lineRule="auto" w:line="240" w:before="0" w:after="0"/>
        <w:ind w:left="0" w:right="0" w:firstLine="1134"/>
        <w:jc w:val="both"/>
        <w:rPr>
          <w:rFonts w:ascii="Arial" w:hAnsi="Arial"/>
          <w:sz w:val="20"/>
          <w:szCs w:val="20"/>
        </w:rPr>
      </w:pPr>
      <w:r>
        <w:rPr>
          <w:sz w:val="20"/>
          <w:szCs w:val="20"/>
        </w:rPr>
        <w:t xml:space="preserve">advertência; </w:t>
      </w:r>
    </w:p>
    <w:p>
      <w:pPr>
        <w:pStyle w:val="Nivel3"/>
        <w:widowControl/>
        <w:numPr>
          <w:ilvl w:val="2"/>
          <w:numId w:val="1"/>
        </w:numPr>
        <w:tabs>
          <w:tab w:val="left" w:pos="0" w:leader="none"/>
        </w:tabs>
        <w:suppressAutoHyphens w:val="true"/>
        <w:overflowPunct w:val="true"/>
        <w:bidi w:val="0"/>
        <w:spacing w:lineRule="auto" w:line="240" w:before="0" w:after="0"/>
        <w:ind w:left="0" w:right="0" w:firstLine="1134"/>
        <w:jc w:val="both"/>
        <w:rPr>
          <w:rFonts w:ascii="Arial" w:hAnsi="Arial"/>
          <w:sz w:val="20"/>
          <w:szCs w:val="20"/>
        </w:rPr>
      </w:pPr>
      <w:r>
        <w:rPr>
          <w:sz w:val="20"/>
          <w:szCs w:val="20"/>
        </w:rPr>
        <w:t>multa;</w:t>
      </w:r>
    </w:p>
    <w:p>
      <w:pPr>
        <w:pStyle w:val="Nivel3"/>
        <w:widowControl/>
        <w:numPr>
          <w:ilvl w:val="2"/>
          <w:numId w:val="1"/>
        </w:numPr>
        <w:tabs>
          <w:tab w:val="left" w:pos="0" w:leader="none"/>
        </w:tabs>
        <w:suppressAutoHyphens w:val="true"/>
        <w:overflowPunct w:val="true"/>
        <w:bidi w:val="0"/>
        <w:spacing w:lineRule="auto" w:line="240" w:before="0" w:after="0"/>
        <w:ind w:left="0" w:right="0" w:firstLine="1134"/>
        <w:jc w:val="both"/>
        <w:rPr>
          <w:rFonts w:ascii="Arial" w:hAnsi="Arial"/>
          <w:sz w:val="20"/>
          <w:szCs w:val="20"/>
        </w:rPr>
      </w:pPr>
      <w:r>
        <w:rPr>
          <w:sz w:val="20"/>
          <w:szCs w:val="20"/>
        </w:rPr>
        <w:t>impedimento de licitar e contratar e</w:t>
      </w:r>
    </w:p>
    <w:p>
      <w:pPr>
        <w:pStyle w:val="Nivel3"/>
        <w:widowControl/>
        <w:numPr>
          <w:ilvl w:val="2"/>
          <w:numId w:val="1"/>
        </w:numPr>
        <w:tabs>
          <w:tab w:val="left" w:pos="0" w:leader="none"/>
        </w:tabs>
        <w:suppressAutoHyphens w:val="true"/>
        <w:overflowPunct w:val="true"/>
        <w:bidi w:val="0"/>
        <w:spacing w:lineRule="auto" w:line="240" w:before="0" w:after="0"/>
        <w:ind w:left="0" w:right="0" w:firstLine="1134"/>
        <w:jc w:val="both"/>
        <w:rPr>
          <w:rFonts w:ascii="Arial" w:hAnsi="Arial"/>
          <w:sz w:val="20"/>
          <w:szCs w:val="20"/>
        </w:rPr>
      </w:pPr>
      <w:r>
        <w:rPr>
          <w:sz w:val="20"/>
          <w:szCs w:val="20"/>
        </w:rPr>
        <w:t>declaração de inidoneidade para licitar ou contratar, enquanto perdurarem os motivos determinantes da punição ou até que seja promovida sua reabilitação perante a própria autoridade que aplicou a penalidade.</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Na aplicação das sanções serão considerados:</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 natureza e a gravidade da infração cometida.</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as peculiaridades do caso concreto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as circunstâncias agravantes ou atenuantes</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os danos que dela provierem para a Administração Pública</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 implantação ou o aperfeiçoamento de programa de integridade, conforme normas e orientações dos órgãos de controle.</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commentRangeStart w:id="20"/>
      <w:r>
        <w:rPr>
          <w:color w:val="000000"/>
          <w:sz w:val="20"/>
          <w:szCs w:val="20"/>
          <w:shd w:fill="FFFFFF" w:val="clear"/>
        </w:rPr>
        <w:t xml:space="preserve">A multa será recolhida em percentual de 0,5% a 30% incidente sobre o valor do contrato licitado, recolhida no prazo máximo de </w:t>
      </w:r>
      <w:r>
        <w:rPr>
          <w:b/>
          <w:bCs/>
          <w:color w:val="000000"/>
          <w:sz w:val="20"/>
          <w:szCs w:val="20"/>
          <w:shd w:fill="FFFFFF" w:val="clear"/>
        </w:rPr>
        <w:t>30 (trinta) dias</w:t>
      </w:r>
      <w:r>
        <w:rPr>
          <w:color w:val="000000"/>
          <w:sz w:val="20"/>
          <w:szCs w:val="20"/>
          <w:shd w:fill="FFFFFF" w:val="clear"/>
        </w:rPr>
        <w:t xml:space="preserve"> úteis, a contar da comunicação oficial. </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color w:val="000000"/>
          <w:sz w:val="20"/>
          <w:szCs w:val="20"/>
          <w:shd w:fill="FFFFFF" w:val="clear"/>
        </w:rPr>
        <w:t xml:space="preserve">Para as infrações previstas nos itens </w:t>
      </w:r>
      <w:r>
        <w:rPr>
          <w:color w:val="000000"/>
          <w:sz w:val="20"/>
          <w:szCs w:val="20"/>
          <w:shd w:fill="FFFFFF" w:val="clear"/>
        </w:rPr>
        <w:fldChar w:fldCharType="begin"/>
      </w:r>
      <w:r>
        <w:rPr>
          <w:sz w:val="20"/>
          <w:shd w:fill="FFFFFF" w:val="clear"/>
          <w:szCs w:val="20"/>
          <w:color w:val="000000"/>
        </w:rPr>
        <w:instrText> REF _Ref114668085 \r \h </w:instrText>
      </w:r>
      <w:r>
        <w:rPr>
          <w:sz w:val="20"/>
          <w:shd w:fill="FFFFFF" w:val="clear"/>
          <w:szCs w:val="20"/>
          <w:color w:val="000000"/>
        </w:rPr>
        <w:fldChar w:fldCharType="separate"/>
      </w:r>
      <w:r>
        <w:rPr>
          <w:sz w:val="20"/>
          <w:shd w:fill="FFFFFF" w:val="clear"/>
          <w:szCs w:val="20"/>
          <w:color w:val="000000"/>
        </w:rPr>
        <w:t>10.1.1</w:t>
      </w:r>
      <w:r>
        <w:rPr>
          <w:sz w:val="20"/>
          <w:shd w:fill="FFFFFF" w:val="clear"/>
          <w:szCs w:val="20"/>
          <w:color w:val="000000"/>
        </w:rPr>
        <w:fldChar w:fldCharType="end"/>
      </w:r>
      <w:r>
        <w:rPr>
          <w:color w:val="000000"/>
          <w:sz w:val="20"/>
          <w:szCs w:val="20"/>
          <w:shd w:fill="FFFFFF" w:val="clear"/>
        </w:rPr>
        <w:t xml:space="preserve">, </w:t>
      </w:r>
      <w:r>
        <w:rPr>
          <w:color w:val="000000"/>
          <w:sz w:val="20"/>
          <w:szCs w:val="20"/>
          <w:shd w:fill="FFFFFF" w:val="clear"/>
        </w:rPr>
        <w:fldChar w:fldCharType="begin"/>
      </w:r>
      <w:r>
        <w:rPr>
          <w:sz w:val="20"/>
          <w:shd w:fill="FFFFFF" w:val="clear"/>
          <w:szCs w:val="20"/>
          <w:color w:val="000000"/>
        </w:rPr>
        <w:instrText> REF _Ref114668108 \r \h </w:instrText>
      </w:r>
      <w:r>
        <w:rPr>
          <w:sz w:val="20"/>
          <w:shd w:fill="FFFFFF" w:val="clear"/>
          <w:szCs w:val="20"/>
          <w:color w:val="000000"/>
        </w:rPr>
        <w:fldChar w:fldCharType="separate"/>
      </w:r>
      <w:r>
        <w:rPr>
          <w:sz w:val="20"/>
          <w:shd w:fill="FFFFFF" w:val="clear"/>
          <w:szCs w:val="20"/>
          <w:color w:val="000000"/>
        </w:rPr>
        <w:t>10.1.2</w:t>
      </w:r>
      <w:r>
        <w:rPr>
          <w:sz w:val="20"/>
          <w:shd w:fill="FFFFFF" w:val="clear"/>
          <w:szCs w:val="20"/>
          <w:color w:val="000000"/>
        </w:rPr>
        <w:fldChar w:fldCharType="end"/>
      </w:r>
      <w:r>
        <w:rPr>
          <w:color w:val="000000"/>
          <w:sz w:val="20"/>
          <w:szCs w:val="20"/>
          <w:shd w:fill="FFFFFF" w:val="clear"/>
        </w:rPr>
        <w:t xml:space="preserve"> e </w:t>
      </w:r>
      <w:r>
        <w:rPr>
          <w:color w:val="000000"/>
          <w:sz w:val="20"/>
          <w:szCs w:val="20"/>
          <w:shd w:fill="FFFFFF" w:val="clear"/>
        </w:rPr>
        <w:fldChar w:fldCharType="begin"/>
      </w:r>
      <w:r>
        <w:rPr>
          <w:sz w:val="20"/>
          <w:shd w:fill="FFFFFF" w:val="clear"/>
          <w:szCs w:val="20"/>
          <w:color w:val="000000"/>
        </w:rPr>
        <w:instrText> REF _Ref114668139 \r \h </w:instrText>
      </w:r>
      <w:r>
        <w:rPr>
          <w:sz w:val="20"/>
          <w:shd w:fill="FFFFFF" w:val="clear"/>
          <w:szCs w:val="20"/>
          <w:color w:val="000000"/>
        </w:rPr>
        <w:fldChar w:fldCharType="separate"/>
      </w:r>
      <w:r>
        <w:rPr>
          <w:sz w:val="20"/>
          <w:shd w:fill="FFFFFF" w:val="clear"/>
          <w:szCs w:val="20"/>
          <w:color w:val="000000"/>
        </w:rPr>
        <w:t>10.1.3</w:t>
      </w:r>
      <w:r>
        <w:rPr>
          <w:sz w:val="20"/>
          <w:shd w:fill="FFFFFF" w:val="clear"/>
          <w:szCs w:val="20"/>
          <w:color w:val="000000"/>
        </w:rPr>
        <w:fldChar w:fldCharType="end"/>
      </w:r>
      <w:r>
        <w:rPr>
          <w:color w:val="000000"/>
          <w:sz w:val="20"/>
          <w:szCs w:val="20"/>
          <w:shd w:fill="FFFFFF" w:val="clear"/>
        </w:rPr>
        <w:t>, a multa será de 0,5% a 15% do valor do contrato licitado.</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cs="Arial"/>
          <w:b/>
          <w:b/>
          <w:bCs/>
          <w:color w:val="5B5B5F"/>
          <w:sz w:val="26"/>
          <w:szCs w:val="26"/>
        </w:rPr>
      </w:pPr>
      <w:r>
        <w:rPr>
          <w:color w:val="000000"/>
          <w:sz w:val="20"/>
          <w:szCs w:val="20"/>
          <w:shd w:fill="FFFFFF" w:val="clear"/>
        </w:rPr>
        <w:t xml:space="preserve">Para as infrações previstas nos itens </w:t>
      </w:r>
      <w:r>
        <w:rPr>
          <w:color w:val="000000"/>
          <w:sz w:val="20"/>
          <w:szCs w:val="20"/>
          <w:shd w:fill="FFFFFF" w:val="clear"/>
        </w:rPr>
        <w:fldChar w:fldCharType="begin"/>
      </w:r>
      <w:r>
        <w:rPr>
          <w:sz w:val="20"/>
          <w:shd w:fill="FFFFFF" w:val="clear"/>
          <w:szCs w:val="20"/>
          <w:color w:val="000000"/>
        </w:rPr>
        <w:instrText> REF _Ref114668249 \r \h </w:instrText>
      </w:r>
      <w:r>
        <w:rPr>
          <w:sz w:val="20"/>
          <w:shd w:fill="FFFFFF" w:val="clear"/>
          <w:szCs w:val="20"/>
          <w:color w:val="000000"/>
        </w:rPr>
        <w:fldChar w:fldCharType="separate"/>
      </w:r>
      <w:r>
        <w:rPr>
          <w:sz w:val="20"/>
          <w:shd w:fill="FFFFFF" w:val="clear"/>
          <w:szCs w:val="20"/>
          <w:color w:val="000000"/>
        </w:rPr>
        <w:t>10.1.4</w:t>
      </w:r>
      <w:r>
        <w:rPr>
          <w:sz w:val="20"/>
          <w:shd w:fill="FFFFFF" w:val="clear"/>
          <w:szCs w:val="20"/>
          <w:color w:val="000000"/>
        </w:rPr>
        <w:fldChar w:fldCharType="end"/>
      </w:r>
      <w:r>
        <w:rPr>
          <w:color w:val="000000"/>
          <w:sz w:val="20"/>
          <w:szCs w:val="20"/>
          <w:shd w:fill="FFFFFF" w:val="clear"/>
        </w:rPr>
        <w:t xml:space="preserve">, </w:t>
      </w:r>
      <w:r>
        <w:rPr>
          <w:color w:val="000000"/>
          <w:sz w:val="20"/>
          <w:szCs w:val="20"/>
          <w:shd w:fill="FFFFFF" w:val="clear"/>
        </w:rPr>
        <w:fldChar w:fldCharType="begin"/>
      </w:r>
      <w:r>
        <w:rPr>
          <w:sz w:val="20"/>
          <w:shd w:fill="FFFFFF" w:val="clear"/>
          <w:szCs w:val="20"/>
          <w:color w:val="000000"/>
        </w:rPr>
        <w:instrText> REF _Ref114668245 \r \h </w:instrText>
      </w:r>
      <w:r>
        <w:rPr>
          <w:sz w:val="20"/>
          <w:shd w:fill="FFFFFF" w:val="clear"/>
          <w:szCs w:val="20"/>
          <w:color w:val="000000"/>
        </w:rPr>
        <w:fldChar w:fldCharType="separate"/>
      </w:r>
      <w:r>
        <w:rPr>
          <w:sz w:val="20"/>
          <w:shd w:fill="FFFFFF" w:val="clear"/>
          <w:szCs w:val="20"/>
          <w:color w:val="000000"/>
        </w:rPr>
        <w:t>10.1.5</w:t>
      </w:r>
      <w:r>
        <w:rPr>
          <w:sz w:val="20"/>
          <w:shd w:fill="FFFFFF" w:val="clear"/>
          <w:szCs w:val="20"/>
          <w:color w:val="000000"/>
        </w:rPr>
        <w:fldChar w:fldCharType="end"/>
      </w:r>
      <w:r>
        <w:rPr>
          <w:color w:val="000000"/>
          <w:sz w:val="20"/>
          <w:szCs w:val="20"/>
          <w:shd w:fill="FFFFFF" w:val="clear"/>
        </w:rPr>
        <w:t xml:space="preserve">, </w:t>
      </w:r>
      <w:r>
        <w:rPr>
          <w:color w:val="000000"/>
          <w:sz w:val="20"/>
          <w:szCs w:val="20"/>
          <w:shd w:fill="FFFFFF" w:val="clear"/>
        </w:rPr>
        <w:fldChar w:fldCharType="begin"/>
      </w:r>
      <w:r>
        <w:rPr>
          <w:sz w:val="20"/>
          <w:shd w:fill="FFFFFF" w:val="clear"/>
          <w:szCs w:val="20"/>
          <w:color w:val="000000"/>
        </w:rPr>
        <w:instrText> REF _Ref114668247 \r \h </w:instrText>
      </w:r>
      <w:r>
        <w:rPr>
          <w:sz w:val="20"/>
          <w:shd w:fill="FFFFFF" w:val="clear"/>
          <w:szCs w:val="20"/>
          <w:color w:val="000000"/>
        </w:rPr>
        <w:fldChar w:fldCharType="separate"/>
      </w:r>
      <w:r>
        <w:rPr>
          <w:sz w:val="20"/>
          <w:shd w:fill="FFFFFF" w:val="clear"/>
          <w:szCs w:val="20"/>
          <w:color w:val="000000"/>
        </w:rPr>
        <w:t>10.1.6</w:t>
      </w:r>
      <w:r>
        <w:rPr>
          <w:sz w:val="20"/>
          <w:shd w:fill="FFFFFF" w:val="clear"/>
          <w:szCs w:val="20"/>
          <w:color w:val="000000"/>
        </w:rPr>
        <w:fldChar w:fldCharType="end"/>
      </w:r>
      <w:r>
        <w:rPr>
          <w:color w:val="000000"/>
          <w:sz w:val="20"/>
          <w:szCs w:val="20"/>
          <w:shd w:fill="FFFFFF" w:val="clear"/>
        </w:rPr>
        <w:t xml:space="preserve">, </w:t>
      </w:r>
      <w:r>
        <w:rPr>
          <w:color w:val="000000"/>
          <w:sz w:val="20"/>
          <w:szCs w:val="20"/>
          <w:shd w:fill="FFFFFF" w:val="clear"/>
        </w:rPr>
        <w:fldChar w:fldCharType="begin"/>
      </w:r>
      <w:r>
        <w:rPr>
          <w:sz w:val="20"/>
          <w:shd w:fill="FFFFFF" w:val="clear"/>
          <w:szCs w:val="20"/>
          <w:color w:val="000000"/>
        </w:rPr>
        <w:instrText> REF _Ref114668251 \r \h </w:instrText>
      </w:r>
      <w:r>
        <w:rPr>
          <w:sz w:val="20"/>
          <w:shd w:fill="FFFFFF" w:val="clear"/>
          <w:szCs w:val="20"/>
          <w:color w:val="000000"/>
        </w:rPr>
        <w:fldChar w:fldCharType="separate"/>
      </w:r>
      <w:r>
        <w:rPr>
          <w:sz w:val="20"/>
          <w:shd w:fill="FFFFFF" w:val="clear"/>
          <w:szCs w:val="20"/>
          <w:color w:val="000000"/>
        </w:rPr>
        <w:t>10.1.7</w:t>
      </w:r>
      <w:r>
        <w:rPr>
          <w:sz w:val="20"/>
          <w:shd w:fill="FFFFFF" w:val="clear"/>
          <w:szCs w:val="20"/>
          <w:color w:val="000000"/>
        </w:rPr>
        <w:fldChar w:fldCharType="end"/>
      </w:r>
      <w:r>
        <w:rPr>
          <w:color w:val="000000"/>
          <w:sz w:val="20"/>
          <w:szCs w:val="20"/>
          <w:shd w:fill="FFFFFF" w:val="clear"/>
        </w:rPr>
        <w:t xml:space="preserve"> e </w:t>
      </w:r>
      <w:r>
        <w:rPr>
          <w:color w:val="000000"/>
          <w:sz w:val="20"/>
          <w:szCs w:val="20"/>
          <w:shd w:fill="FFFFFF" w:val="clear"/>
        </w:rPr>
        <w:fldChar w:fldCharType="begin"/>
      </w:r>
      <w:r>
        <w:rPr>
          <w:sz w:val="20"/>
          <w:shd w:fill="FFFFFF" w:val="clear"/>
          <w:szCs w:val="20"/>
          <w:color w:val="000000"/>
        </w:rPr>
        <w:instrText> REF _Ref114668252 \r \h </w:instrText>
      </w:r>
      <w:r>
        <w:rPr>
          <w:sz w:val="20"/>
          <w:shd w:fill="FFFFFF" w:val="clear"/>
          <w:szCs w:val="20"/>
          <w:color w:val="000000"/>
        </w:rPr>
        <w:fldChar w:fldCharType="separate"/>
      </w:r>
      <w:r>
        <w:rPr>
          <w:sz w:val="20"/>
          <w:shd w:fill="FFFFFF" w:val="clear"/>
          <w:szCs w:val="20"/>
          <w:color w:val="000000"/>
        </w:rPr>
        <w:t>10.1.8</w:t>
      </w:r>
      <w:r>
        <w:rPr>
          <w:sz w:val="20"/>
          <w:shd w:fill="FFFFFF" w:val="clear"/>
          <w:szCs w:val="20"/>
          <w:color w:val="000000"/>
        </w:rPr>
        <w:fldChar w:fldCharType="end"/>
      </w:r>
      <w:r>
        <w:rPr>
          <w:color w:val="000000"/>
          <w:sz w:val="20"/>
          <w:szCs w:val="20"/>
          <w:shd w:fill="FFFFFF" w:val="clear"/>
        </w:rPr>
        <w:t>, a multa será de 15% a 30% do valor do contrato licitado.</w:t>
      </w:r>
      <w:commentRangeEnd w:id="20"/>
      <w:r>
        <w:commentReference w:id="20"/>
      </w:r>
      <w:r>
        <w:rPr>
          <w:color w:val="000000"/>
          <w:sz w:val="20"/>
          <w:szCs w:val="20"/>
          <w:shd w:fill="FFFFFF" w:val="clear"/>
        </w:rPr>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As sanções de advertência, impedimento de licitar e contratar e declaração de inidoneidade para licitar ou contratar poderão ser aplicadas, cumulativamente ou não, à penalidade de multa.</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Na aplicação da sanção de multa será facultada a defesa do interessado no prazo de 15 (quinze) dias úteis, contado da data de sua intimação.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commentRangeStart w:id="21"/>
      <w:r>
        <w:rPr>
          <w:sz w:val="20"/>
          <w:szCs w:val="20"/>
          <w:shd w:fill="FFFFFF" w:val="clear"/>
        </w:rPr>
        <w:t xml:space="preserve">A sanção de impedimento de licitar e contratar será aplicada ao responsável em decorrência das infrações administrativas relacionadas nos itens </w:t>
      </w:r>
      <w:r>
        <w:rPr>
          <w:sz w:val="20"/>
          <w:szCs w:val="20"/>
          <w:shd w:fill="FFFFFF" w:val="clear"/>
        </w:rPr>
        <w:fldChar w:fldCharType="begin"/>
      </w:r>
      <w:r>
        <w:rPr>
          <w:sz w:val="20"/>
          <w:shd w:fill="FFFFFF" w:val="clear"/>
          <w:szCs w:val="20"/>
        </w:rPr>
        <w:instrText> REF _Ref114668085 \r \h </w:instrText>
      </w:r>
      <w:r>
        <w:rPr>
          <w:sz w:val="20"/>
          <w:shd w:fill="FFFFFF" w:val="clear"/>
          <w:szCs w:val="20"/>
        </w:rPr>
        <w:fldChar w:fldCharType="separate"/>
      </w:r>
      <w:r>
        <w:rPr>
          <w:sz w:val="20"/>
          <w:shd w:fill="FFFFFF" w:val="clear"/>
          <w:szCs w:val="20"/>
        </w:rPr>
        <w:t>10.1.1</w:t>
      </w:r>
      <w:r>
        <w:rPr>
          <w:sz w:val="20"/>
          <w:shd w:fill="FFFFFF" w:val="clear"/>
          <w:szCs w:val="20"/>
        </w:rPr>
        <w:fldChar w:fldCharType="end"/>
      </w:r>
      <w:r>
        <w:rPr>
          <w:sz w:val="20"/>
          <w:szCs w:val="20"/>
          <w:shd w:fill="FFFFFF" w:val="clear"/>
        </w:rPr>
        <w:t xml:space="preserve">, </w:t>
      </w:r>
      <w:r>
        <w:rPr>
          <w:sz w:val="20"/>
          <w:szCs w:val="20"/>
          <w:shd w:fill="FFFFFF" w:val="clear"/>
        </w:rPr>
        <w:fldChar w:fldCharType="begin"/>
      </w:r>
      <w:r>
        <w:rPr>
          <w:sz w:val="20"/>
          <w:shd w:fill="FFFFFF" w:val="clear"/>
          <w:szCs w:val="20"/>
        </w:rPr>
        <w:instrText> REF _Ref114668108 \r \h </w:instrText>
      </w:r>
      <w:r>
        <w:rPr>
          <w:sz w:val="20"/>
          <w:shd w:fill="FFFFFF" w:val="clear"/>
          <w:szCs w:val="20"/>
        </w:rPr>
        <w:fldChar w:fldCharType="separate"/>
      </w:r>
      <w:r>
        <w:rPr>
          <w:sz w:val="20"/>
          <w:shd w:fill="FFFFFF" w:val="clear"/>
          <w:szCs w:val="20"/>
        </w:rPr>
        <w:t>10.1.2</w:t>
      </w:r>
      <w:r>
        <w:rPr>
          <w:sz w:val="20"/>
          <w:shd w:fill="FFFFFF" w:val="clear"/>
          <w:szCs w:val="20"/>
        </w:rPr>
        <w:fldChar w:fldCharType="end"/>
      </w:r>
      <w:r>
        <w:rPr>
          <w:sz w:val="20"/>
          <w:szCs w:val="20"/>
          <w:shd w:fill="FFFFFF" w:val="clear"/>
        </w:rPr>
        <w:t xml:space="preserve"> e </w:t>
      </w:r>
      <w:r>
        <w:rPr>
          <w:sz w:val="20"/>
          <w:szCs w:val="20"/>
          <w:shd w:fill="FFFFFF" w:val="clear"/>
        </w:rPr>
        <w:fldChar w:fldCharType="begin"/>
      </w:r>
      <w:r>
        <w:rPr>
          <w:sz w:val="20"/>
          <w:shd w:fill="FFFFFF" w:val="clear"/>
          <w:szCs w:val="20"/>
        </w:rPr>
        <w:instrText> REF _Ref114668139 \r \h </w:instrText>
      </w:r>
      <w:r>
        <w:rPr>
          <w:sz w:val="20"/>
          <w:shd w:fill="FFFFFF" w:val="clear"/>
          <w:szCs w:val="20"/>
        </w:rPr>
        <w:fldChar w:fldCharType="separate"/>
      </w:r>
      <w:r>
        <w:rPr>
          <w:sz w:val="20"/>
          <w:shd w:fill="FFFFFF" w:val="clear"/>
          <w:szCs w:val="20"/>
        </w:rPr>
        <w:t>10.1.3</w:t>
      </w:r>
      <w:r>
        <w:rPr>
          <w:sz w:val="20"/>
          <w:shd w:fill="FFFFFF" w:val="clear"/>
          <w:szCs w:val="20"/>
        </w:rPr>
        <w:fldChar w:fldCharType="end"/>
      </w:r>
      <w:r>
        <w:rPr>
          <w:sz w:val="20"/>
          <w:szCs w:val="20"/>
          <w:shd w:fill="FFFFFF" w:val="clear"/>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commentRangeEnd w:id="21"/>
      <w:r>
        <w:commentReference w:id="21"/>
      </w:r>
      <w:r>
        <w:rPr>
          <w:sz w:val="20"/>
          <w:szCs w:val="20"/>
          <w:shd w:fill="FFFFFF" w:val="clear"/>
        </w:rPr>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shd w:fill="FFFFFF" w:val="clear"/>
        </w:rPr>
        <w:t xml:space="preserve">Poderá ser aplicada ao responsável a sanção de declaração de inidoneidade para licitar ou contratar, em decorrência da prática das infrações dispostas nos itens </w:t>
      </w:r>
      <w:r>
        <w:rPr>
          <w:sz w:val="20"/>
          <w:szCs w:val="20"/>
          <w:shd w:fill="FFFFFF" w:val="clear"/>
        </w:rPr>
        <w:fldChar w:fldCharType="begin"/>
      </w:r>
      <w:r>
        <w:rPr>
          <w:sz w:val="20"/>
          <w:shd w:fill="FFFFFF" w:val="clear"/>
          <w:szCs w:val="20"/>
        </w:rPr>
        <w:instrText> REF _Ref114668249 \r \h </w:instrText>
      </w:r>
      <w:r>
        <w:rPr>
          <w:sz w:val="20"/>
          <w:shd w:fill="FFFFFF" w:val="clear"/>
          <w:szCs w:val="20"/>
        </w:rPr>
        <w:fldChar w:fldCharType="separate"/>
      </w:r>
      <w:r>
        <w:rPr>
          <w:sz w:val="20"/>
          <w:shd w:fill="FFFFFF" w:val="clear"/>
          <w:szCs w:val="20"/>
        </w:rPr>
        <w:t>10.1.4</w:t>
      </w:r>
      <w:r>
        <w:rPr>
          <w:sz w:val="20"/>
          <w:shd w:fill="FFFFFF" w:val="clear"/>
          <w:szCs w:val="20"/>
        </w:rPr>
        <w:fldChar w:fldCharType="end"/>
      </w:r>
      <w:r>
        <w:rPr>
          <w:sz w:val="20"/>
          <w:szCs w:val="20"/>
          <w:shd w:fill="FFFFFF" w:val="clear"/>
        </w:rPr>
        <w:t xml:space="preserve">, </w:t>
      </w:r>
      <w:r>
        <w:rPr>
          <w:sz w:val="20"/>
          <w:szCs w:val="20"/>
          <w:shd w:fill="FFFFFF" w:val="clear"/>
        </w:rPr>
        <w:fldChar w:fldCharType="begin"/>
      </w:r>
      <w:r>
        <w:rPr>
          <w:sz w:val="20"/>
          <w:shd w:fill="FFFFFF" w:val="clear"/>
          <w:szCs w:val="20"/>
        </w:rPr>
        <w:instrText> REF _Ref114668245 \r \h </w:instrText>
      </w:r>
      <w:r>
        <w:rPr>
          <w:sz w:val="20"/>
          <w:shd w:fill="FFFFFF" w:val="clear"/>
          <w:szCs w:val="20"/>
        </w:rPr>
        <w:fldChar w:fldCharType="separate"/>
      </w:r>
      <w:r>
        <w:rPr>
          <w:sz w:val="20"/>
          <w:shd w:fill="FFFFFF" w:val="clear"/>
          <w:szCs w:val="20"/>
        </w:rPr>
        <w:t>10.1.5</w:t>
      </w:r>
      <w:r>
        <w:rPr>
          <w:sz w:val="20"/>
          <w:shd w:fill="FFFFFF" w:val="clear"/>
          <w:szCs w:val="20"/>
        </w:rPr>
        <w:fldChar w:fldCharType="end"/>
      </w:r>
      <w:r>
        <w:rPr>
          <w:sz w:val="20"/>
          <w:szCs w:val="20"/>
          <w:shd w:fill="FFFFFF" w:val="clear"/>
        </w:rPr>
        <w:t xml:space="preserve">, </w:t>
      </w:r>
      <w:r>
        <w:rPr>
          <w:sz w:val="20"/>
          <w:szCs w:val="20"/>
          <w:shd w:fill="FFFFFF" w:val="clear"/>
        </w:rPr>
        <w:fldChar w:fldCharType="begin"/>
      </w:r>
      <w:r>
        <w:rPr>
          <w:sz w:val="20"/>
          <w:shd w:fill="FFFFFF" w:val="clear"/>
          <w:szCs w:val="20"/>
        </w:rPr>
        <w:instrText> REF _Ref114668247 \r \h </w:instrText>
      </w:r>
      <w:r>
        <w:rPr>
          <w:sz w:val="20"/>
          <w:shd w:fill="FFFFFF" w:val="clear"/>
          <w:szCs w:val="20"/>
        </w:rPr>
        <w:fldChar w:fldCharType="separate"/>
      </w:r>
      <w:r>
        <w:rPr>
          <w:sz w:val="20"/>
          <w:shd w:fill="FFFFFF" w:val="clear"/>
          <w:szCs w:val="20"/>
        </w:rPr>
        <w:t>10.1.6</w:t>
      </w:r>
      <w:r>
        <w:rPr>
          <w:sz w:val="20"/>
          <w:shd w:fill="FFFFFF" w:val="clear"/>
          <w:szCs w:val="20"/>
        </w:rPr>
        <w:fldChar w:fldCharType="end"/>
      </w:r>
      <w:r>
        <w:rPr>
          <w:sz w:val="20"/>
          <w:szCs w:val="20"/>
          <w:shd w:fill="FFFFFF" w:val="clear"/>
        </w:rPr>
        <w:t xml:space="preserve">, </w:t>
      </w:r>
      <w:r>
        <w:rPr>
          <w:sz w:val="20"/>
          <w:szCs w:val="20"/>
          <w:shd w:fill="FFFFFF" w:val="clear"/>
        </w:rPr>
        <w:fldChar w:fldCharType="begin"/>
      </w:r>
      <w:r>
        <w:rPr>
          <w:sz w:val="20"/>
          <w:shd w:fill="FFFFFF" w:val="clear"/>
          <w:szCs w:val="20"/>
        </w:rPr>
        <w:instrText> REF _Ref114668251 \r \h </w:instrText>
      </w:r>
      <w:r>
        <w:rPr>
          <w:sz w:val="20"/>
          <w:shd w:fill="FFFFFF" w:val="clear"/>
          <w:szCs w:val="20"/>
        </w:rPr>
        <w:fldChar w:fldCharType="separate"/>
      </w:r>
      <w:r>
        <w:rPr>
          <w:sz w:val="20"/>
          <w:shd w:fill="FFFFFF" w:val="clear"/>
          <w:szCs w:val="20"/>
        </w:rPr>
        <w:t>10.1.7</w:t>
      </w:r>
      <w:r>
        <w:rPr>
          <w:sz w:val="20"/>
          <w:shd w:fill="FFFFFF" w:val="clear"/>
          <w:szCs w:val="20"/>
        </w:rPr>
        <w:fldChar w:fldCharType="end"/>
      </w:r>
      <w:r>
        <w:rPr>
          <w:sz w:val="20"/>
          <w:szCs w:val="20"/>
          <w:shd w:fill="FFFFFF" w:val="clear"/>
        </w:rPr>
        <w:t xml:space="preserve"> e </w:t>
      </w:r>
      <w:r>
        <w:rPr>
          <w:sz w:val="20"/>
          <w:szCs w:val="20"/>
          <w:shd w:fill="FFFFFF" w:val="clear"/>
        </w:rPr>
        <w:fldChar w:fldCharType="begin"/>
      </w:r>
      <w:r>
        <w:rPr>
          <w:sz w:val="20"/>
          <w:shd w:fill="FFFFFF" w:val="clear"/>
          <w:szCs w:val="20"/>
        </w:rPr>
        <w:instrText> REF _Ref114668252 \r \h </w:instrText>
      </w:r>
      <w:r>
        <w:rPr>
          <w:sz w:val="20"/>
          <w:shd w:fill="FFFFFF" w:val="clear"/>
          <w:szCs w:val="20"/>
        </w:rPr>
        <w:fldChar w:fldCharType="separate"/>
      </w:r>
      <w:r>
        <w:rPr>
          <w:sz w:val="20"/>
          <w:shd w:fill="FFFFFF" w:val="clear"/>
          <w:szCs w:val="20"/>
        </w:rPr>
        <w:t>10.1.8</w:t>
      </w:r>
      <w:r>
        <w:rPr>
          <w:sz w:val="20"/>
          <w:shd w:fill="FFFFFF" w:val="clear"/>
          <w:szCs w:val="20"/>
        </w:rPr>
        <w:fldChar w:fldCharType="end"/>
      </w:r>
      <w:r>
        <w:rPr>
          <w:sz w:val="20"/>
          <w:szCs w:val="20"/>
          <w:shd w:fill="FFFFFF" w:val="clear"/>
        </w:rPr>
        <w:t xml:space="preserve">, bem como pelas infrações administrativas previstas nos itens </w:t>
      </w:r>
      <w:r>
        <w:rPr>
          <w:sz w:val="20"/>
          <w:szCs w:val="20"/>
          <w:shd w:fill="FFFFFF" w:val="clear"/>
        </w:rPr>
        <w:fldChar w:fldCharType="begin"/>
      </w:r>
      <w:r>
        <w:rPr>
          <w:sz w:val="20"/>
          <w:shd w:fill="FFFFFF" w:val="clear"/>
          <w:szCs w:val="20"/>
        </w:rPr>
        <w:instrText> REF _Ref114668085 \r \h </w:instrText>
      </w:r>
      <w:r>
        <w:rPr>
          <w:sz w:val="20"/>
          <w:shd w:fill="FFFFFF" w:val="clear"/>
          <w:szCs w:val="20"/>
        </w:rPr>
        <w:fldChar w:fldCharType="separate"/>
      </w:r>
      <w:r>
        <w:rPr>
          <w:sz w:val="20"/>
          <w:shd w:fill="FFFFFF" w:val="clear"/>
          <w:szCs w:val="20"/>
        </w:rPr>
        <w:t>10.1.1</w:t>
      </w:r>
      <w:r>
        <w:rPr>
          <w:sz w:val="20"/>
          <w:shd w:fill="FFFFFF" w:val="clear"/>
          <w:szCs w:val="20"/>
        </w:rPr>
        <w:fldChar w:fldCharType="end"/>
      </w:r>
      <w:r>
        <w:rPr>
          <w:sz w:val="20"/>
          <w:szCs w:val="20"/>
          <w:shd w:fill="FFFFFF" w:val="clear"/>
        </w:rPr>
        <w:t xml:space="preserve">, </w:t>
      </w:r>
      <w:r>
        <w:rPr>
          <w:sz w:val="20"/>
          <w:szCs w:val="20"/>
          <w:shd w:fill="FFFFFF" w:val="clear"/>
        </w:rPr>
        <w:fldChar w:fldCharType="begin"/>
      </w:r>
      <w:r>
        <w:rPr>
          <w:sz w:val="20"/>
          <w:shd w:fill="FFFFFF" w:val="clear"/>
          <w:szCs w:val="20"/>
        </w:rPr>
        <w:instrText> REF _Ref114668108 \r \h </w:instrText>
      </w:r>
      <w:r>
        <w:rPr>
          <w:sz w:val="20"/>
          <w:shd w:fill="FFFFFF" w:val="clear"/>
          <w:szCs w:val="20"/>
        </w:rPr>
        <w:fldChar w:fldCharType="separate"/>
      </w:r>
      <w:r>
        <w:rPr>
          <w:sz w:val="20"/>
          <w:shd w:fill="FFFFFF" w:val="clear"/>
          <w:szCs w:val="20"/>
        </w:rPr>
        <w:t>10.1.2</w:t>
      </w:r>
      <w:r>
        <w:rPr>
          <w:sz w:val="20"/>
          <w:shd w:fill="FFFFFF" w:val="clear"/>
          <w:szCs w:val="20"/>
        </w:rPr>
        <w:fldChar w:fldCharType="end"/>
      </w:r>
      <w:r>
        <w:rPr>
          <w:sz w:val="20"/>
          <w:szCs w:val="20"/>
          <w:shd w:fill="FFFFFF" w:val="clear"/>
        </w:rPr>
        <w:t xml:space="preserve"> e </w:t>
      </w:r>
      <w:r>
        <w:rPr>
          <w:sz w:val="20"/>
          <w:szCs w:val="20"/>
          <w:shd w:fill="FFFFFF" w:val="clear"/>
        </w:rPr>
        <w:fldChar w:fldCharType="begin"/>
      </w:r>
      <w:r>
        <w:rPr>
          <w:sz w:val="20"/>
          <w:shd w:fill="FFFFFF" w:val="clear"/>
          <w:szCs w:val="20"/>
        </w:rPr>
        <w:instrText> REF _Ref114668139 \r \h </w:instrText>
      </w:r>
      <w:r>
        <w:rPr>
          <w:sz w:val="20"/>
          <w:shd w:fill="FFFFFF" w:val="clear"/>
          <w:szCs w:val="20"/>
        </w:rPr>
        <w:fldChar w:fldCharType="separate"/>
      </w:r>
      <w:r>
        <w:rPr>
          <w:sz w:val="20"/>
          <w:shd w:fill="FFFFFF" w:val="clear"/>
          <w:szCs w:val="20"/>
        </w:rPr>
        <w:t>10.1.3</w:t>
      </w:r>
      <w:r>
        <w:rPr>
          <w:sz w:val="20"/>
          <w:shd w:fill="FFFFFF" w:val="clear"/>
          <w:szCs w:val="20"/>
        </w:rPr>
        <w:fldChar w:fldCharType="end"/>
      </w:r>
      <w:r>
        <w:rPr>
          <w:sz w:val="20"/>
          <w:szCs w:val="20"/>
          <w:shd w:fill="FFFFFF" w:val="clear"/>
        </w:rPr>
        <w:t xml:space="preserve"> que justifiquem a imposição de penalidade mais grave que a sanção de impedimento de licitar e contratar, cuja duração observará o prazo previsto no </w:t>
      </w:r>
      <w:r>
        <w:fldChar w:fldCharType="begin"/>
      </w:r>
      <w:r>
        <w:rPr>
          <w:rStyle w:val="LinkdaInternet"/>
          <w:sz w:val="20"/>
          <w:u w:val="none"/>
          <w:shd w:fill="FFFFFF" w:val="clear"/>
          <w:szCs w:val="20"/>
          <w:color w:val="000000"/>
        </w:rPr>
        <w:instrText> HYPERLINK "http://www.planalto.gov.br/ccivil_03/_ato2019-2022/2021/lei/L14133.htm" \l "art156§5"</w:instrText>
      </w:r>
      <w:r>
        <w:rPr>
          <w:rStyle w:val="LinkdaInternet"/>
          <w:sz w:val="20"/>
          <w:u w:val="none"/>
          <w:shd w:fill="FFFFFF" w:val="clear"/>
          <w:szCs w:val="20"/>
          <w:color w:val="000000"/>
        </w:rPr>
        <w:fldChar w:fldCharType="separate"/>
      </w:r>
      <w:r>
        <w:rPr>
          <w:rStyle w:val="LinkdaInternet"/>
          <w:color w:val="000000"/>
          <w:sz w:val="20"/>
          <w:szCs w:val="20"/>
          <w:u w:val="none"/>
          <w:shd w:fill="FFFFFF" w:val="clear"/>
        </w:rPr>
        <w:t>art. 156, §5º, da Lei n.º 14.133/2021</w:t>
      </w:r>
      <w:r>
        <w:rPr>
          <w:rStyle w:val="LinkdaInternet"/>
          <w:sz w:val="20"/>
          <w:u w:val="none"/>
          <w:shd w:fill="FFFFFF" w:val="clear"/>
          <w:szCs w:val="20"/>
          <w:color w:val="000000"/>
        </w:rPr>
        <w:fldChar w:fldCharType="end"/>
      </w:r>
      <w:r>
        <w:rPr>
          <w:sz w:val="20"/>
          <w:szCs w:val="20"/>
          <w:shd w:fill="FFFFFF" w:val="clear"/>
        </w:rPr>
        <w:t>.</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shd w:fill="FFFFFF" w:val="clear"/>
        </w:rPr>
        <w:t xml:space="preserve">A recusa injustificada do adjudicatário em assinar o contrato ou a ata de registro de preço, ou em aceitar ou retirar o instrumento equivalente no prazo estabelecido pela Administração, descrita no item </w:t>
      </w:r>
      <w:r>
        <w:rPr>
          <w:sz w:val="20"/>
          <w:szCs w:val="20"/>
          <w:shd w:fill="FFFFFF" w:val="clear"/>
        </w:rPr>
        <w:fldChar w:fldCharType="begin"/>
      </w:r>
      <w:r>
        <w:rPr>
          <w:sz w:val="20"/>
          <w:shd w:fill="FFFFFF" w:val="clear"/>
          <w:szCs w:val="20"/>
        </w:rPr>
        <w:instrText> REF _Ref114668139 \r \h </w:instrText>
      </w:r>
      <w:r>
        <w:rPr>
          <w:sz w:val="20"/>
          <w:shd w:fill="FFFFFF" w:val="clear"/>
          <w:szCs w:val="20"/>
        </w:rPr>
        <w:fldChar w:fldCharType="separate"/>
      </w:r>
      <w:r>
        <w:rPr>
          <w:sz w:val="20"/>
          <w:shd w:fill="FFFFFF" w:val="clear"/>
          <w:szCs w:val="20"/>
        </w:rPr>
        <w:t>10.1.3</w:t>
      </w:r>
      <w:r>
        <w:rPr>
          <w:sz w:val="20"/>
          <w:shd w:fill="FFFFFF" w:val="clear"/>
          <w:szCs w:val="20"/>
        </w:rPr>
        <w:fldChar w:fldCharType="end"/>
      </w:r>
      <w:r>
        <w:rPr>
          <w:sz w:val="20"/>
          <w:szCs w:val="20"/>
          <w:shd w:fill="FFFFFF" w:val="clear"/>
        </w:rPr>
        <w:t>, caracterizará o descumprimento total da obrigação assumida e o sujeitará às penalidades e à imediata perda da garantia de proposta em favor do órgão ou entid</w:t>
      </w:r>
      <w:r>
        <w:rPr>
          <w:sz w:val="20"/>
          <w:szCs w:val="20"/>
        </w:rPr>
        <w:t>ade promotora da licitação.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commentRangeStart w:id="22"/>
      <w:r>
        <w:rPr>
          <w:sz w:val="20"/>
          <w:szCs w:val="2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commentRangeEnd w:id="22"/>
      <w:r>
        <w:commentReference w:id="22"/>
      </w:r>
      <w:r>
        <w:rPr>
          <w:sz w:val="20"/>
          <w:szCs w:val="20"/>
        </w:rPr>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 recurso e o pedido de reconsideração terão efeito suspensivo do ato ou da decisão recorrida até que sobrevenha decisão final da autoridade competente.</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commentRangeStart w:id="23"/>
      <w:r>
        <w:rPr>
          <w:sz w:val="20"/>
          <w:szCs w:val="20"/>
        </w:rPr>
        <w:t>A aplicação das sanções previstas neste edital não exclui, em hipótese alguma, a obrigação de reparação integral dos danos causados.</w:t>
      </w:r>
      <w:commentRangeEnd w:id="23"/>
      <w:r>
        <w:commentReference w:id="23"/>
      </w:r>
      <w:r>
        <w:rPr>
          <w:sz w:val="20"/>
          <w:szCs w:val="20"/>
        </w:rPr>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ind w:left="0" w:right="0" w:hanging="0"/>
        <w:rPr>
          <w:rFonts w:ascii="Arial" w:hAnsi="Arial"/>
          <w:sz w:val="20"/>
          <w:szCs w:val="20"/>
        </w:rPr>
      </w:pPr>
      <w:bookmarkStart w:id="49" w:name="_Toc135469235"/>
      <w:r>
        <w:rPr>
          <w:sz w:val="20"/>
          <w:szCs w:val="20"/>
        </w:rPr>
        <w:t>DA IMPUGNAÇÃO AO EDITAL E DO PEDIDO DE ESCLARECIMENTO</w:t>
      </w:r>
      <w:bookmarkEnd w:id="49"/>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Qualquer pessoa é parte legítima para impugnar este Edital por irregularidade na aplicação da </w:t>
      </w:r>
      <w:hyperlink r:id="rId23">
        <w:r>
          <w:rPr>
            <w:rStyle w:val="LinkdaInternet"/>
            <w:color w:val="000000"/>
            <w:sz w:val="20"/>
            <w:szCs w:val="20"/>
            <w:u w:val="none"/>
          </w:rPr>
          <w:t>Lei nº 14.133, de 2021</w:t>
        </w:r>
      </w:hyperlink>
      <w:r>
        <w:rPr>
          <w:sz w:val="20"/>
          <w:szCs w:val="20"/>
        </w:rPr>
        <w:t>, devendo protocolar o pedido até 3 (três) dias úteis antes da data da abertura do certame.</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A resposta à impugnação ou ao pedido de esclarecimento será divulgado em sítio eletrônico oficial                                                                                                                                                                                                                                                                                                                                                                                                                                                                                                                                                                                                                                                                                                                                                                                                                                                                                                                                                               no prazo de até 3 (três) dias úteis, limitado ao último dia útil anterior à data da abertura do certame.</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color w:val="000000"/>
          <w:sz w:val="20"/>
          <w:szCs w:val="20"/>
        </w:rPr>
        <w:t xml:space="preserve">A impugnação e o pedido de esclarecimento poderão ser realizados por forma eletrônica, </w:t>
      </w:r>
      <w:r>
        <w:rPr>
          <w:i/>
          <w:iCs/>
          <w:color w:val="000000"/>
          <w:sz w:val="20"/>
          <w:szCs w:val="20"/>
        </w:rPr>
        <w:t xml:space="preserve">pelo seguinte meio </w:t>
      </w:r>
      <w:r>
        <w:rPr>
          <w:i/>
          <w:iCs/>
          <w:color w:val="0000FF"/>
          <w:sz w:val="20"/>
          <w:szCs w:val="20"/>
        </w:rPr>
        <w:t>licitacao@eparaguacu.sp.gov.br</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As impugnações e pedidos de esclarecimentos não suspendem os prazos previstos no certame.</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commentRangeStart w:id="24"/>
      <w:r>
        <w:rPr>
          <w:sz w:val="20"/>
          <w:szCs w:val="20"/>
        </w:rPr>
        <w:t>A concessão de efeito suspensivo à impugnação é medida excepcional e deverá ser motivada pelo agente de contratação, nos autos do processo de licitação.</w:t>
      </w:r>
      <w:commentRangeEnd w:id="24"/>
      <w:r>
        <w:commentReference w:id="24"/>
      </w:r>
      <w:r>
        <w:rPr>
          <w:sz w:val="20"/>
          <w:szCs w:val="20"/>
        </w:rPr>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Acolhida a impugnação, será definida e publicada nova data para a realização do certame.</w:t>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ind w:left="0" w:right="0" w:hanging="0"/>
        <w:rPr>
          <w:rFonts w:ascii="Arial" w:hAnsi="Arial"/>
          <w:sz w:val="20"/>
          <w:szCs w:val="20"/>
        </w:rPr>
      </w:pPr>
      <w:bookmarkStart w:id="50" w:name="_Toc135469236"/>
      <w:r>
        <w:rPr>
          <w:sz w:val="20"/>
          <w:szCs w:val="20"/>
        </w:rPr>
        <w:t>DAS DISPOSIÇÕES GERAIS</w:t>
      </w:r>
      <w:bookmarkEnd w:id="50"/>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Será divulgada ata da sessão pública no sistema eletrônico.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Agente de contratação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Todas as referências de tempo no Edital, no aviso e durante a sessão pública observarão o horário de Brasília - DF.</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A homologação do resultado desta licitação não implicará direito à contratação.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Os licitantes assumem todos os custos de preparação e apresentação de suas propostas e a Administração não será, em nenhum caso, responsável por esses custos, independentemente da condução ou do resultado do processo licitatório.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Na contagem dos prazos estabelecidos neste Edital e seus Anexos, excluir-se-á o dia do início e incluir-se-á o do vencimento. Só se iniciam e vencem os prazos em dias de expediente na Administração.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 desatendimento de exigências formais não essenciais não importará o afastamento do licitante, desde que seja possível o aproveitamento do ato, observados os princípios da isonomia e do interesse público.</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Em caso de divergência entre disposições deste Edital e de seus anexos ou demais peças que compõem o processo, prevalecerá as deste Edital.</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 xml:space="preserve">O Edital e seus anexos estão disponíveis, na íntegra, no Portal Nacional de Contratações Públicas (PNCP) e endereço eletrônico </w:t>
      </w:r>
      <w:r>
        <w:rPr>
          <w:rStyle w:val="LinkdaInternet"/>
          <w:b w:val="false"/>
          <w:bCs w:val="false"/>
          <w:color w:val="000000"/>
          <w:sz w:val="20"/>
          <w:szCs w:val="20"/>
        </w:rPr>
        <w:t>www.eparaguacu.sp.gov.br</w:t>
      </w:r>
    </w:p>
    <w:p>
      <w:pPr>
        <w:pStyle w:val="Normal"/>
        <w:widowControl/>
        <w:numPr>
          <w:ilvl w:val="1"/>
          <w:numId w:val="1"/>
        </w:numPr>
        <w:suppressAutoHyphens w:val="true"/>
        <w:overflowPunct w:val="true"/>
        <w:bidi w:val="0"/>
        <w:spacing w:lineRule="auto" w:line="240" w:before="0" w:after="0"/>
        <w:ind w:left="0" w:right="0" w:firstLine="567"/>
        <w:jc w:val="both"/>
        <w:rPr>
          <w:rFonts w:ascii="Arial" w:hAnsi="Arial" w:cs="Arial"/>
          <w:b w:val="false"/>
          <w:b w:val="false"/>
          <w:bCs w:val="false"/>
          <w:color w:val="000000"/>
          <w:sz w:val="20"/>
          <w:szCs w:val="20"/>
        </w:rPr>
      </w:pPr>
      <w:r>
        <w:rPr>
          <w:rFonts w:cs="Arial"/>
          <w:b w:val="false"/>
          <w:bCs w:val="false"/>
          <w:color w:val="000000"/>
          <w:sz w:val="20"/>
          <w:szCs w:val="20"/>
        </w:rPr>
        <w:t>Os casos omissos serão resolvidos de acordo com as Leis e demais normas aplicáveis.</w:t>
      </w:r>
    </w:p>
    <w:p>
      <w:pPr>
        <w:pStyle w:val="Nivel2"/>
        <w:widowControl/>
        <w:numPr>
          <w:ilvl w:val="1"/>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Integram este Edital, para todos os fins e efeitos, os seguintes anexos:</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 xml:space="preserve">ANEXO I - Termo de Referência, planilha estimada, cronograma físico financeiro; memorial descritivo e projeto; </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ANEXO II – Estudo Técnico Preliminar</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ANEXO III – Modelo proposta</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ANEXO IV – Modelo de Declarações</w:t>
      </w:r>
    </w:p>
    <w:p>
      <w:pPr>
        <w:pStyle w:val="Nivel3"/>
        <w:widowControl/>
        <w:numPr>
          <w:ilvl w:val="2"/>
          <w:numId w:val="1"/>
        </w:numPr>
        <w:suppressAutoHyphens w:val="true"/>
        <w:overflowPunct w:val="true"/>
        <w:bidi w:val="0"/>
        <w:spacing w:lineRule="auto" w:line="240" w:before="0" w:after="0"/>
        <w:ind w:left="0" w:right="0" w:firstLine="1134"/>
        <w:jc w:val="both"/>
        <w:rPr>
          <w:rFonts w:ascii="Arial" w:hAnsi="Arial"/>
          <w:sz w:val="20"/>
          <w:szCs w:val="20"/>
        </w:rPr>
      </w:pPr>
      <w:r>
        <w:rPr>
          <w:sz w:val="20"/>
          <w:szCs w:val="20"/>
        </w:rPr>
        <w:t>ANEXO V– Minuta do contrato</w:t>
      </w:r>
    </w:p>
    <w:p>
      <w:pPr>
        <w:pStyle w:val="Recuodecorpodetexto21"/>
        <w:bidi w:val="0"/>
        <w:spacing w:lineRule="auto" w:line="240" w:before="0" w:after="0"/>
        <w:ind w:left="0" w:right="0" w:hanging="0"/>
        <w:jc w:val="right"/>
        <w:rPr>
          <w:rFonts w:ascii="Arial" w:hAnsi="Arial" w:cs="Arial"/>
          <w:color w:val="auto"/>
          <w:sz w:val="20"/>
          <w:szCs w:val="20"/>
        </w:rPr>
      </w:pPr>
      <w:r>
        <w:rPr>
          <w:rFonts w:cs="Arial" w:ascii="Arial" w:hAnsi="Arial"/>
          <w:color w:val="auto"/>
          <w:sz w:val="20"/>
          <w:szCs w:val="20"/>
        </w:rPr>
      </w:r>
    </w:p>
    <w:p>
      <w:pPr>
        <w:pStyle w:val="Recuodecorpodetexto21"/>
        <w:bidi w:val="0"/>
        <w:spacing w:lineRule="auto" w:line="240" w:before="0" w:after="0"/>
        <w:ind w:left="0" w:right="0" w:hanging="0"/>
        <w:jc w:val="right"/>
        <w:rPr>
          <w:rFonts w:ascii="Arial" w:hAnsi="Arial" w:cs="Arial"/>
          <w:color w:val="auto"/>
          <w:sz w:val="20"/>
          <w:szCs w:val="20"/>
        </w:rPr>
      </w:pPr>
      <w:r>
        <w:rPr>
          <w:rFonts w:cs="Arial" w:ascii="Arial" w:hAnsi="Arial"/>
          <w:color w:val="auto"/>
          <w:sz w:val="20"/>
          <w:szCs w:val="20"/>
        </w:rPr>
      </w:r>
    </w:p>
    <w:p>
      <w:pPr>
        <w:pStyle w:val="Recuodecorpodetexto21"/>
        <w:bidi w:val="0"/>
        <w:spacing w:lineRule="auto" w:line="240" w:before="0" w:after="0"/>
        <w:ind w:left="0" w:right="0" w:hanging="0"/>
        <w:jc w:val="right"/>
        <w:rPr>
          <w:rFonts w:ascii="Arial" w:hAnsi="Arial" w:cs="Arial"/>
          <w:b/>
          <w:b/>
          <w:bCs/>
          <w:color w:val="5B5B5F"/>
          <w:sz w:val="26"/>
          <w:szCs w:val="26"/>
        </w:rPr>
      </w:pPr>
      <w:r>
        <w:rPr>
          <w:rFonts w:cs="Arial" w:ascii="Arial" w:hAnsi="Arial"/>
          <w:color w:val="auto"/>
          <w:sz w:val="20"/>
          <w:szCs w:val="20"/>
        </w:rPr>
        <w:t>Estância Turística de Paraguaçu Paulista, 07</w:t>
      </w:r>
      <w:r>
        <w:rPr>
          <w:rFonts w:eastAsia="Arial" w:cs="Arial" w:ascii="Arial" w:hAnsi="Arial"/>
          <w:color w:val="auto"/>
          <w:kern w:val="2"/>
          <w:sz w:val="20"/>
          <w:szCs w:val="20"/>
          <w:lang w:val="pt-BR" w:eastAsia="zh-CN" w:bidi="hi-IN"/>
        </w:rPr>
        <w:t xml:space="preserve"> </w:t>
      </w:r>
      <w:r>
        <w:rPr>
          <w:rFonts w:cs="Arial" w:ascii="Arial" w:hAnsi="Arial"/>
          <w:color w:val="auto"/>
          <w:sz w:val="20"/>
          <w:szCs w:val="20"/>
        </w:rPr>
        <w:t xml:space="preserve">de </w:t>
      </w:r>
      <w:r>
        <w:rPr>
          <w:rFonts w:eastAsia="Arial" w:cs="Arial" w:ascii="Arial" w:hAnsi="Arial"/>
          <w:color w:val="auto"/>
          <w:sz w:val="20"/>
          <w:szCs w:val="20"/>
        </w:rPr>
        <w:t xml:space="preserve">Março </w:t>
      </w:r>
      <w:r>
        <w:rPr>
          <w:rFonts w:cs="Arial" w:ascii="Arial" w:hAnsi="Arial"/>
          <w:color w:val="auto"/>
          <w:sz w:val="20"/>
          <w:szCs w:val="20"/>
        </w:rPr>
        <w:t>de 2024.</w:t>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cs="Arial"/>
          <w:b/>
          <w:b/>
          <w:color w:val="FF0000"/>
          <w:sz w:val="20"/>
          <w:szCs w:val="20"/>
        </w:rPr>
      </w:pPr>
      <w:r>
        <w:rPr>
          <w:rFonts w:cs="Arial" w:ascii="Arial" w:hAnsi="Arial"/>
          <w:b/>
          <w:color w:val="FF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cs="Arial"/>
          <w:b/>
          <w:b/>
          <w:color w:val="auto"/>
          <w:sz w:val="20"/>
          <w:szCs w:val="20"/>
        </w:rPr>
      </w:pPr>
      <w:r>
        <w:rPr>
          <w:rFonts w:cs="Arial" w:ascii="Arial" w:hAnsi="Arial"/>
          <w:b/>
          <w:color w:val="auto"/>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cs="Arial"/>
          <w:b/>
          <w:b/>
          <w:color w:val="auto"/>
          <w:sz w:val="20"/>
          <w:szCs w:val="20"/>
        </w:rPr>
      </w:pPr>
      <w:r>
        <w:rPr>
          <w:rFonts w:cs="Arial" w:ascii="Arial" w:hAnsi="Arial"/>
          <w:b/>
          <w:color w:val="auto"/>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cs="Arial"/>
          <w:b/>
          <w:b/>
          <w:color w:val="auto"/>
          <w:sz w:val="20"/>
          <w:szCs w:val="20"/>
        </w:rPr>
      </w:pPr>
      <w:r>
        <w:rPr>
          <w:rFonts w:cs="Arial" w:ascii="Arial" w:hAnsi="Arial"/>
          <w:b/>
          <w:color w:val="auto"/>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cs="Arial"/>
          <w:b/>
          <w:b/>
          <w:color w:val="auto"/>
          <w:sz w:val="20"/>
          <w:szCs w:val="20"/>
        </w:rPr>
      </w:pPr>
      <w:r>
        <w:rPr>
          <w:rFonts w:cs="Arial" w:ascii="Arial" w:hAnsi="Arial"/>
          <w:b/>
          <w:color w:val="auto"/>
          <w:sz w:val="20"/>
          <w:szCs w:val="20"/>
        </w:rPr>
        <w:t>Antonio Takashi Sasada</w:t>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cs="Arial"/>
          <w:color w:val="auto"/>
          <w:sz w:val="20"/>
          <w:szCs w:val="20"/>
        </w:rPr>
      </w:pPr>
      <w:r>
        <w:rPr>
          <w:rFonts w:cs="Arial" w:ascii="Arial" w:hAnsi="Arial"/>
          <w:color w:val="auto"/>
          <w:sz w:val="20"/>
          <w:szCs w:val="20"/>
        </w:rPr>
        <w:t>Prefeito Municipal</w:t>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p>
    <w:p>
      <w:pPr>
        <w:pStyle w:val="DivisodeTabelas"/>
        <w:tabs>
          <w:tab w:val="clear" w:pos="708"/>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s>
        <w:bidi w:val="0"/>
        <w:spacing w:lineRule="auto" w:line="240" w:before="0" w:after="0"/>
        <w:ind w:left="0" w:right="0" w:hanging="0"/>
        <w:jc w:val="center"/>
        <w:rPr>
          <w:rFonts w:ascii="Arial" w:hAnsi="Arial" w:eastAsia="MS Mincho" w:cs="Arial"/>
          <w:color w:val="000000"/>
          <w:sz w:val="20"/>
          <w:szCs w:val="20"/>
        </w:rPr>
      </w:pPr>
      <w:r>
        <w:rPr>
          <w:rFonts w:eastAsia="MS Mincho" w:cs="Arial" w:ascii="Arial" w:hAnsi="Arial"/>
          <w:color w:val="000000"/>
          <w:sz w:val="20"/>
          <w:szCs w:val="20"/>
        </w:rPr>
      </w:r>
      <w:r>
        <w:br w:type="page"/>
      </w:r>
    </w:p>
    <w:p>
      <w:pPr>
        <w:pStyle w:val="Normal"/>
        <w:bidi w:val="0"/>
        <w:spacing w:lineRule="auto" w:line="240" w:before="0" w:after="0"/>
        <w:ind w:left="0" w:right="0" w:hanging="0"/>
        <w:jc w:val="center"/>
        <w:rPr>
          <w:rFonts w:ascii="Arial" w:hAnsi="Arial" w:cs="Arial"/>
          <w:b/>
          <w:b/>
          <w:bCs/>
          <w:color w:val="auto"/>
          <w:sz w:val="20"/>
          <w:szCs w:val="20"/>
        </w:rPr>
      </w:pPr>
      <w:r>
        <w:rPr>
          <w:rFonts w:cs="Arial"/>
          <w:b/>
          <w:bCs/>
          <w:color w:val="auto"/>
          <w:sz w:val="20"/>
          <w:szCs w:val="20"/>
        </w:rPr>
        <w:t>ANEXO III - PROPOSTA DE PREÇOS</w:t>
      </w:r>
    </w:p>
    <w:p>
      <w:pPr>
        <w:pStyle w:val="Normal"/>
        <w:bidi w:val="0"/>
        <w:spacing w:lineRule="auto" w:line="240" w:before="0" w:after="0"/>
        <w:ind w:left="0" w:right="0" w:hanging="0"/>
        <w:jc w:val="center"/>
        <w:rPr>
          <w:rFonts w:ascii="Arial" w:hAnsi="Arial" w:cs="Arial"/>
          <w:b/>
          <w:b/>
          <w:bCs/>
          <w:color w:val="5B5B5F"/>
          <w:sz w:val="26"/>
          <w:szCs w:val="26"/>
        </w:rPr>
      </w:pPr>
      <w:r>
        <w:rPr>
          <w:rFonts w:eastAsia="Arial" w:cs="Arial"/>
          <w:b/>
          <w:bCs/>
          <w:color w:val="auto"/>
          <w:sz w:val="20"/>
          <w:szCs w:val="20"/>
        </w:rPr>
        <w:t xml:space="preserve"> </w:t>
      </w:r>
      <w:r>
        <w:rPr>
          <w:rFonts w:cs="Arial"/>
          <w:b/>
          <w:bCs/>
          <w:color w:val="auto"/>
          <w:sz w:val="20"/>
          <w:szCs w:val="20"/>
        </w:rPr>
        <w:t xml:space="preserve">(uso obrigatório por todos os proponentes) </w:t>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t>CONCORRÊNCIA ELETRÔNICA Nº .../2024</w:t>
      </w:r>
    </w:p>
    <w:p>
      <w:pPr>
        <w:pStyle w:val="Normal"/>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t>PROCESSO Nº …../2024</w:t>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Standard"/>
        <w:spacing w:lineRule="auto" w:line="240" w:before="0" w:after="0"/>
        <w:ind w:left="0" w:right="0" w:hanging="0"/>
        <w:jc w:val="center"/>
        <w:rPr>
          <w:rFonts w:ascii="Arial" w:hAnsi="Arial" w:cs="Arial"/>
          <w:sz w:val="18"/>
          <w:szCs w:val="18"/>
        </w:rPr>
      </w:pPr>
      <w:r>
        <w:rPr>
          <w:rFonts w:cs="Arial" w:ascii="Arial" w:hAnsi="Arial"/>
          <w:sz w:val="18"/>
          <w:szCs w:val="18"/>
        </w:rPr>
      </w:r>
    </w:p>
    <w:p>
      <w:pPr>
        <w:pStyle w:val="Standard"/>
        <w:spacing w:lineRule="auto" w:line="240" w:before="0" w:after="0"/>
        <w:ind w:left="0" w:right="0" w:hanging="0"/>
        <w:jc w:val="left"/>
        <w:rPr>
          <w:rFonts w:ascii="Arial" w:hAnsi="Arial" w:cs="Arial"/>
          <w:sz w:val="18"/>
          <w:szCs w:val="18"/>
        </w:rPr>
      </w:pPr>
      <w:r>
        <w:rPr>
          <w:rFonts w:cs="Arial" w:ascii="Arial" w:hAnsi="Arial"/>
          <w:sz w:val="18"/>
          <w:szCs w:val="18"/>
        </w:rPr>
        <w:t>Nome do Proponente:</w:t>
      </w:r>
    </w:p>
    <w:p>
      <w:pPr>
        <w:pStyle w:val="PargrafodaLista"/>
        <w:spacing w:lineRule="auto" w:line="240" w:before="0" w:after="0"/>
        <w:ind w:left="0" w:right="0" w:hanging="0"/>
        <w:jc w:val="left"/>
        <w:rPr>
          <w:rFonts w:ascii="Arial" w:hAnsi="Arial" w:cs="Arial"/>
          <w:b/>
          <w:b/>
          <w:sz w:val="18"/>
          <w:szCs w:val="18"/>
        </w:rPr>
      </w:pPr>
      <w:r>
        <w:rPr>
          <w:rFonts w:cs="Arial"/>
          <w:b/>
          <w:sz w:val="18"/>
          <w:szCs w:val="18"/>
        </w:rPr>
        <w:t>Razão Social</w:t>
        <w:tab/>
        <w:tab/>
        <w:tab/>
        <w:tab/>
        <w:t>CNPJ</w:t>
        <w:tab/>
        <w:tab/>
        <w:t xml:space="preserve">                                          I.E.</w:t>
      </w:r>
    </w:p>
    <w:p>
      <w:pPr>
        <w:pStyle w:val="PargrafodaLista"/>
        <w:spacing w:lineRule="auto" w:line="240" w:before="0" w:after="0"/>
        <w:ind w:left="0" w:right="0" w:hanging="0"/>
        <w:jc w:val="left"/>
        <w:rPr>
          <w:rFonts w:ascii="Arial" w:hAnsi="Arial" w:cs="Arial"/>
          <w:b/>
          <w:b/>
          <w:sz w:val="18"/>
          <w:szCs w:val="18"/>
        </w:rPr>
      </w:pPr>
      <w:r>
        <w:rPr>
          <w:rFonts w:cs="Arial"/>
          <w:b/>
          <w:sz w:val="18"/>
          <w:szCs w:val="18"/>
        </w:rPr>
        <w:t>Endereço:</w:t>
        <w:tab/>
        <w:tab/>
        <w:tab/>
        <w:tab/>
        <w:t>CEP:</w:t>
        <w:tab/>
        <w:tab/>
        <w:tab/>
        <w:t xml:space="preserve">                           Cidade:</w:t>
      </w:r>
    </w:p>
    <w:p>
      <w:pPr>
        <w:pStyle w:val="PargrafodaLista"/>
        <w:spacing w:lineRule="auto" w:line="240" w:before="0" w:after="0"/>
        <w:ind w:left="0" w:right="0" w:hanging="0"/>
        <w:jc w:val="left"/>
        <w:rPr>
          <w:rFonts w:ascii="Arial" w:hAnsi="Arial" w:cs="Arial"/>
          <w:b/>
          <w:b/>
          <w:sz w:val="18"/>
          <w:szCs w:val="18"/>
        </w:rPr>
      </w:pPr>
      <w:r>
        <w:rPr>
          <w:rFonts w:cs="Arial"/>
          <w:b/>
          <w:sz w:val="18"/>
          <w:szCs w:val="18"/>
        </w:rPr>
        <w:t>Telefone:</w:t>
        <w:tab/>
        <w:t xml:space="preserve">                                            E-mail institucional:                                   E-mail pessoal:</w:t>
      </w:r>
    </w:p>
    <w:p>
      <w:pPr>
        <w:pStyle w:val="Standard"/>
        <w:tabs>
          <w:tab w:val="clear" w:pos="708"/>
          <w:tab w:val="left" w:pos="6645" w:leader="none"/>
        </w:tabs>
        <w:spacing w:lineRule="auto" w:line="240" w:before="0" w:after="0"/>
        <w:ind w:left="0" w:right="0" w:hanging="0"/>
        <w:jc w:val="left"/>
        <w:rPr>
          <w:rFonts w:ascii="Arial" w:hAnsi="Arial" w:cs="Arial"/>
          <w:b/>
          <w:b/>
          <w:sz w:val="18"/>
          <w:szCs w:val="18"/>
        </w:rPr>
      </w:pPr>
      <w:r>
        <w:rPr>
          <w:rFonts w:cs="Arial" w:ascii="Arial" w:hAnsi="Arial"/>
          <w:b/>
          <w:sz w:val="18"/>
          <w:szCs w:val="18"/>
        </w:rPr>
        <w:t>Agência Bancária:                                         Agência:                                                      Conta Corrente:</w:t>
      </w:r>
    </w:p>
    <w:p>
      <w:pPr>
        <w:pStyle w:val="Standard"/>
        <w:tabs>
          <w:tab w:val="clear" w:pos="708"/>
          <w:tab w:val="left" w:pos="6645" w:leader="none"/>
        </w:tabs>
        <w:spacing w:lineRule="auto" w:line="240" w:before="0" w:after="0"/>
        <w:ind w:left="0" w:right="0" w:hanging="0"/>
        <w:jc w:val="both"/>
        <w:rPr>
          <w:rFonts w:ascii="Arial" w:hAnsi="Arial" w:cs="Arial"/>
          <w:b/>
          <w:b/>
          <w:sz w:val="18"/>
          <w:szCs w:val="18"/>
        </w:rPr>
      </w:pPr>
      <w:r>
        <w:rPr>
          <w:rFonts w:cs="Arial" w:ascii="Arial" w:hAnsi="Arial"/>
          <w:b/>
          <w:sz w:val="18"/>
          <w:szCs w:val="18"/>
        </w:rPr>
      </w:r>
    </w:p>
    <w:p>
      <w:pPr>
        <w:pStyle w:val="Standard"/>
        <w:spacing w:lineRule="auto" w:line="240" w:before="0" w:after="0"/>
        <w:ind w:left="0" w:right="0" w:hanging="0"/>
        <w:jc w:val="both"/>
        <w:rPr>
          <w:rFonts w:ascii="Arial" w:hAnsi="Arial" w:cs="Arial"/>
          <w:b/>
          <w:b/>
          <w:bCs/>
          <w:color w:val="5B5B5F"/>
          <w:sz w:val="26"/>
          <w:szCs w:val="26"/>
        </w:rPr>
      </w:pPr>
      <w:r>
        <w:rPr>
          <w:rFonts w:cs="Arial" w:ascii="Arial" w:hAnsi="Arial"/>
          <w:color w:val="000000"/>
          <w:sz w:val="18"/>
          <w:szCs w:val="18"/>
        </w:rPr>
        <w:t>Edital N°____________________para</w:t>
      </w:r>
      <w:r>
        <w:rPr>
          <w:rFonts w:eastAsia="Calibri" w:cs="Arial" w:ascii="Arial" w:hAnsi="Arial"/>
          <w:b/>
          <w:bCs/>
          <w:color w:val="000000"/>
          <w:kern w:val="2"/>
          <w:sz w:val="18"/>
          <w:szCs w:val="18"/>
          <w:lang w:val="pt-BR" w:eastAsia="zh-CN" w:bidi="ar-SA"/>
        </w:rPr>
        <w:t xml:space="preserve"> </w:t>
      </w:r>
      <w:r>
        <w:rPr>
          <w:rStyle w:val="Strong"/>
          <w:rFonts w:eastAsia="NSimSun" w:cs="Arial" w:ascii="Arial" w:hAnsi="Arial"/>
          <w:b/>
          <w:bCs/>
          <w:caps/>
          <w:color w:val="000000"/>
          <w:kern w:val="2"/>
          <w:sz w:val="20"/>
          <w:szCs w:val="20"/>
          <w:shd w:fill="FFFFFF" w:val="clear"/>
          <w:lang w:val="pt-BR" w:eastAsia="zh-CN" w:bidi="hi-IN"/>
        </w:rPr>
        <w:t>Contratação de empresa,  para Construção de Unidade de Saúde  no C.H. Dona Lina Leuzzi</w:t>
      </w:r>
      <w:r>
        <w:rPr>
          <w:rStyle w:val="Tipodeletrapredefinidodopargrafo"/>
          <w:rFonts w:eastAsia="Calibri" w:cs="Arial" w:ascii="Arial" w:hAnsi="Arial"/>
          <w:b/>
          <w:bCs/>
          <w:color w:val="auto"/>
          <w:kern w:val="2"/>
          <w:sz w:val="18"/>
          <w:szCs w:val="18"/>
          <w:lang w:val="pt-BR" w:eastAsia="zh-CN" w:bidi="ar-SA"/>
        </w:rPr>
        <w:t>,</w:t>
      </w:r>
      <w:r>
        <w:rPr>
          <w:rFonts w:cs="Arial" w:ascii="Arial" w:hAnsi="Arial"/>
          <w:b/>
          <w:bCs/>
          <w:color w:val="auto"/>
          <w:sz w:val="18"/>
          <w:szCs w:val="18"/>
        </w:rPr>
        <w:t xml:space="preserve"> </w:t>
      </w:r>
      <w:r>
        <w:rPr>
          <w:rFonts w:cs="Arial" w:ascii="Arial" w:hAnsi="Arial"/>
          <w:color w:val="auto"/>
          <w:sz w:val="18"/>
          <w:szCs w:val="18"/>
        </w:rPr>
        <w:t>prezad</w:t>
      </w:r>
      <w:r>
        <w:rPr>
          <w:rFonts w:cs="Arial" w:ascii="Arial" w:hAnsi="Arial"/>
          <w:color w:val="000000"/>
          <w:sz w:val="18"/>
          <w:szCs w:val="18"/>
        </w:rPr>
        <w:t>os Senhores:</w:t>
      </w:r>
    </w:p>
    <w:p>
      <w:pPr>
        <w:pStyle w:val="Standard"/>
        <w:spacing w:lineRule="auto" w:line="240" w:before="0" w:after="0"/>
        <w:ind w:left="0" w:right="0" w:hanging="0"/>
        <w:jc w:val="both"/>
        <w:rPr>
          <w:rFonts w:ascii="Arial" w:hAnsi="Arial" w:cs="Arial"/>
          <w:color w:val="000000"/>
          <w:sz w:val="18"/>
          <w:szCs w:val="18"/>
        </w:rPr>
      </w:pPr>
      <w:r>
        <w:rPr>
          <w:rFonts w:cs="Arial" w:ascii="Arial" w:hAnsi="Arial"/>
          <w:color w:val="000000"/>
          <w:sz w:val="18"/>
          <w:szCs w:val="18"/>
        </w:rPr>
      </w:r>
    </w:p>
    <w:p>
      <w:pPr>
        <w:pStyle w:val="Standard"/>
        <w:spacing w:lineRule="auto" w:line="240" w:before="0" w:after="0"/>
        <w:ind w:left="0" w:right="0" w:hanging="0"/>
        <w:jc w:val="both"/>
        <w:rPr>
          <w:rFonts w:ascii="Arial" w:hAnsi="Arial" w:cs="Arial"/>
          <w:b/>
          <w:b/>
          <w:bCs/>
          <w:color w:val="5B5B5F"/>
          <w:sz w:val="26"/>
          <w:szCs w:val="26"/>
        </w:rPr>
      </w:pPr>
      <w:r>
        <w:rPr>
          <w:rFonts w:cs="Arial" w:ascii="Arial" w:hAnsi="Arial"/>
          <w:color w:val="000000"/>
          <w:sz w:val="18"/>
          <w:szCs w:val="18"/>
        </w:rPr>
        <w:t>Nosso preço global para o fornecimento de material e execução da obra acima mencionada é de R$ ______________</w:t>
      </w:r>
      <w:r>
        <w:rPr>
          <w:rFonts w:cs="Arial" w:ascii="Arial" w:hAnsi="Arial"/>
          <w:color w:val="000000"/>
          <w:sz w:val="18"/>
          <w:szCs w:val="18"/>
          <w:u w:val="single"/>
        </w:rPr>
        <w:t>(</w:t>
      </w:r>
      <w:r>
        <w:rPr>
          <w:rFonts w:cs="Arial" w:ascii="Arial" w:hAnsi="Arial"/>
          <w:color w:val="000000"/>
          <w:sz w:val="18"/>
          <w:szCs w:val="18"/>
        </w:rPr>
        <w:t>___________________</w:t>
      </w:r>
      <w:r>
        <w:rPr>
          <w:rFonts w:cs="Arial" w:ascii="Arial" w:hAnsi="Arial"/>
          <w:color w:val="000000"/>
          <w:sz w:val="18"/>
          <w:szCs w:val="18"/>
          <w:u w:val="single"/>
        </w:rPr>
        <w:t>)</w:t>
      </w:r>
      <w:r>
        <w:rPr>
          <w:rFonts w:cs="Arial" w:ascii="Arial" w:hAnsi="Arial"/>
          <w:color w:val="000000"/>
          <w:sz w:val="18"/>
          <w:szCs w:val="18"/>
        </w:rPr>
        <w:t xml:space="preserve"> e será executada inteiramente de acordo com o Projeto Básico disponibilizado pela Prefeitura Municipal de Paraguaçu Paulista.</w:t>
      </w:r>
    </w:p>
    <w:p>
      <w:pPr>
        <w:pStyle w:val="Corpodotexto"/>
        <w:spacing w:lineRule="auto" w:line="240" w:before="0" w:after="0"/>
        <w:ind w:left="0" w:right="0" w:hanging="0"/>
        <w:rPr>
          <w:b/>
          <w:b/>
          <w:bCs/>
        </w:rPr>
      </w:pPr>
      <w:r>
        <w:rPr>
          <w:b/>
          <w:bCs/>
        </w:rPr>
      </w:r>
    </w:p>
    <w:p>
      <w:pPr>
        <w:pStyle w:val="Corpodotexto"/>
        <w:spacing w:lineRule="auto" w:line="240" w:before="0" w:after="0"/>
        <w:ind w:left="0" w:right="0" w:hanging="0"/>
        <w:rPr>
          <w:rFonts w:ascii="Arial" w:hAnsi="Arial" w:cs="Arial"/>
          <w:b/>
          <w:b/>
          <w:bCs/>
          <w:color w:val="5B5B5F"/>
          <w:sz w:val="26"/>
          <w:szCs w:val="26"/>
        </w:rPr>
      </w:pPr>
      <w:r>
        <w:rPr>
          <w:rStyle w:val="Strong"/>
          <w:rFonts w:eastAsia="NSimSun" w:cs="Arial" w:ascii="Arial" w:hAnsi="Arial"/>
          <w:i w:val="false"/>
          <w:caps w:val="false"/>
          <w:smallCaps w:val="false"/>
          <w:color w:val="000000"/>
          <w:spacing w:val="0"/>
          <w:kern w:val="2"/>
          <w:sz w:val="20"/>
          <w:szCs w:val="20"/>
          <w:shd w:fill="FFFFFF" w:val="clear"/>
          <w:lang w:val="pt-BR" w:eastAsia="zh-CN" w:bidi="hi-IN"/>
        </w:rPr>
        <w:t>DECLARAÇÕES</w:t>
      </w:r>
    </w:p>
    <w:p>
      <w:pPr>
        <w:pStyle w:val="Standard"/>
        <w:spacing w:lineRule="auto" w:line="240" w:before="0" w:after="0"/>
        <w:ind w:left="0" w:right="0" w:hanging="0"/>
        <w:jc w:val="both"/>
        <w:rPr>
          <w:rFonts w:ascii="Arial" w:hAnsi="Arial" w:cs="Arial"/>
          <w:b/>
          <w:b/>
          <w:bCs/>
          <w:color w:val="5B5B5F"/>
          <w:sz w:val="26"/>
          <w:szCs w:val="26"/>
        </w:rPr>
      </w:pPr>
      <w:r>
        <w:rPr>
          <w:rFonts w:cs="Arial" w:ascii="Arial" w:hAnsi="Arial"/>
          <w:b/>
          <w:bCs/>
          <w:sz w:val="18"/>
          <w:szCs w:val="18"/>
        </w:rPr>
        <w:t xml:space="preserve">1. </w:t>
      </w:r>
      <w:r>
        <w:rPr>
          <w:rFonts w:cs="Arial" w:ascii="Arial" w:hAnsi="Arial"/>
          <w:sz w:val="18"/>
          <w:szCs w:val="18"/>
        </w:rPr>
        <w:t xml:space="preserve">Declaramos que o preço global por nós ofertado será para executar a obra conforme todas as exigências do </w:t>
      </w:r>
      <w:r>
        <w:rPr>
          <w:rFonts w:cs="Arial" w:ascii="Arial" w:hAnsi="Arial"/>
          <w:color w:val="000000"/>
          <w:sz w:val="18"/>
          <w:szCs w:val="18"/>
        </w:rPr>
        <w:t>Projeto Básico disponibilizado</w:t>
      </w:r>
      <w:r>
        <w:rPr>
          <w:rFonts w:cs="Arial" w:ascii="Arial" w:hAnsi="Arial"/>
          <w:sz w:val="18"/>
          <w:szCs w:val="18"/>
        </w:rPr>
        <w:t>.</w:t>
      </w:r>
    </w:p>
    <w:p>
      <w:pPr>
        <w:pStyle w:val="Standard"/>
        <w:spacing w:lineRule="auto" w:line="240" w:before="0" w:after="0"/>
        <w:ind w:left="0" w:right="0" w:hanging="0"/>
        <w:jc w:val="both"/>
        <w:rPr>
          <w:rFonts w:ascii="Arial" w:hAnsi="Arial" w:cs="Arial"/>
          <w:b/>
          <w:b/>
          <w:bCs/>
          <w:color w:val="5B5B5F"/>
          <w:sz w:val="26"/>
          <w:szCs w:val="26"/>
        </w:rPr>
      </w:pPr>
      <w:r>
        <w:rPr>
          <w:rFonts w:cs="Arial" w:ascii="Arial" w:hAnsi="Arial"/>
          <w:b/>
          <w:bCs/>
          <w:sz w:val="18"/>
          <w:szCs w:val="18"/>
        </w:rPr>
        <w:t>2.</w:t>
      </w:r>
      <w:r>
        <w:rPr>
          <w:rFonts w:cs="Arial" w:ascii="Arial" w:hAnsi="Arial"/>
          <w:sz w:val="18"/>
          <w:szCs w:val="18"/>
        </w:rPr>
        <w:t xml:space="preserve"> Declaramos que entregaremos as obras dentro do prazo est</w:t>
      </w:r>
      <w:r>
        <w:rPr>
          <w:rFonts w:cs="Arial" w:ascii="Arial" w:hAnsi="Arial"/>
          <w:color w:val="auto"/>
          <w:sz w:val="18"/>
          <w:szCs w:val="18"/>
        </w:rPr>
        <w:t xml:space="preserve">ipulado de </w:t>
      </w:r>
      <w:r>
        <w:rPr>
          <w:rFonts w:cs="Arial" w:ascii="Arial" w:hAnsi="Arial"/>
          <w:b/>
          <w:bCs/>
          <w:color w:val="auto"/>
          <w:sz w:val="18"/>
          <w:szCs w:val="18"/>
        </w:rPr>
        <w:t xml:space="preserve">até </w:t>
      </w:r>
      <w:r>
        <w:rPr>
          <w:rFonts w:eastAsia="Calibri" w:cs="Arial" w:ascii="Arial" w:hAnsi="Arial"/>
          <w:b/>
          <w:bCs/>
          <w:color w:val="auto"/>
          <w:kern w:val="2"/>
          <w:sz w:val="18"/>
          <w:szCs w:val="18"/>
          <w:lang w:val="pt-BR" w:eastAsia="zh-CN" w:bidi="ar-SA"/>
        </w:rPr>
        <w:t>….</w:t>
      </w:r>
      <w:r>
        <w:rPr>
          <w:rFonts w:cs="Arial" w:ascii="Arial" w:hAnsi="Arial"/>
          <w:b/>
          <w:bCs/>
          <w:color w:val="auto"/>
          <w:sz w:val="18"/>
          <w:szCs w:val="18"/>
        </w:rPr>
        <w:t xml:space="preserve"> (……</w:t>
      </w:r>
      <w:r>
        <w:rPr>
          <w:rFonts w:eastAsia="Calibri" w:cs="Arial" w:ascii="Arial" w:hAnsi="Arial"/>
          <w:b/>
          <w:bCs/>
          <w:color w:val="auto"/>
          <w:kern w:val="2"/>
          <w:sz w:val="18"/>
          <w:szCs w:val="18"/>
          <w:lang w:val="pt-BR" w:eastAsia="zh-CN" w:bidi="ar-SA"/>
        </w:rPr>
        <w:t>..</w:t>
      </w:r>
      <w:r>
        <w:rPr>
          <w:rFonts w:cs="Arial" w:ascii="Arial" w:hAnsi="Arial"/>
          <w:b/>
          <w:bCs/>
          <w:color w:val="auto"/>
          <w:sz w:val="18"/>
          <w:szCs w:val="18"/>
        </w:rPr>
        <w:t>) meses.</w:t>
      </w:r>
    </w:p>
    <w:p>
      <w:pPr>
        <w:pStyle w:val="Standard"/>
        <w:spacing w:lineRule="auto" w:line="240" w:before="0" w:after="0"/>
        <w:ind w:left="0" w:right="0" w:hanging="0"/>
        <w:jc w:val="both"/>
        <w:rPr>
          <w:rFonts w:ascii="Arial" w:hAnsi="Arial" w:cs="Arial"/>
          <w:b/>
          <w:b/>
          <w:bCs/>
          <w:color w:val="5B5B5F"/>
          <w:sz w:val="26"/>
          <w:szCs w:val="26"/>
        </w:rPr>
      </w:pPr>
      <w:r>
        <w:rPr>
          <w:rFonts w:cs="Arial" w:ascii="Arial" w:hAnsi="Arial"/>
          <w:b/>
          <w:bCs/>
          <w:color w:val="auto"/>
          <w:sz w:val="18"/>
          <w:szCs w:val="18"/>
        </w:rPr>
        <w:t>3.</w:t>
      </w:r>
      <w:r>
        <w:rPr>
          <w:rFonts w:cs="Arial" w:ascii="Arial" w:hAnsi="Arial"/>
          <w:color w:val="auto"/>
          <w:sz w:val="18"/>
          <w:szCs w:val="18"/>
        </w:rPr>
        <w:t xml:space="preserve"> Declaramos que estamos de acordo com os itens referentes aos cronogramas físicos financeiros, prazos, medições e pagamentos parciais.</w:t>
      </w:r>
    </w:p>
    <w:p>
      <w:pPr>
        <w:pStyle w:val="Standard"/>
        <w:spacing w:lineRule="auto" w:line="240" w:before="0" w:after="0"/>
        <w:ind w:left="0" w:right="0" w:hanging="0"/>
        <w:jc w:val="both"/>
        <w:rPr>
          <w:rFonts w:ascii="Arial" w:hAnsi="Arial" w:cs="Arial"/>
          <w:b/>
          <w:b/>
          <w:bCs/>
          <w:color w:val="5B5B5F"/>
          <w:sz w:val="26"/>
          <w:szCs w:val="26"/>
        </w:rPr>
      </w:pPr>
      <w:r>
        <w:rPr>
          <w:rFonts w:cs="Arial" w:ascii="Arial" w:hAnsi="Arial"/>
          <w:b/>
          <w:bCs/>
          <w:sz w:val="18"/>
          <w:szCs w:val="18"/>
        </w:rPr>
        <w:t>4.</w:t>
      </w:r>
      <w:r>
        <w:rPr>
          <w:rFonts w:cs="Arial" w:ascii="Arial" w:hAnsi="Arial"/>
          <w:sz w:val="18"/>
          <w:szCs w:val="18"/>
        </w:rPr>
        <w:t xml:space="preserve"> Declaramos que o preço unitário e o preço global da proposta compreendem todas as despesas relativas à completa execução dos serviços projetados e especificados, incluso o fornecimento de todo o material de 1º linha e a mão de obra necessária, encargos sociais, equipamentos, ferramentas, assistência técnica, administração, benefícios e licenças inerentes.</w:t>
      </w:r>
    </w:p>
    <w:p>
      <w:pPr>
        <w:pStyle w:val="Standard"/>
        <w:spacing w:lineRule="auto" w:line="240" w:before="0" w:after="0"/>
        <w:ind w:left="0" w:right="0" w:hanging="0"/>
        <w:jc w:val="both"/>
        <w:rPr>
          <w:rFonts w:ascii="Arial" w:hAnsi="Arial" w:cs="Arial"/>
          <w:b/>
          <w:b/>
          <w:bCs/>
          <w:color w:val="5B5B5F"/>
          <w:sz w:val="26"/>
          <w:szCs w:val="26"/>
        </w:rPr>
      </w:pPr>
      <w:r>
        <w:rPr>
          <w:rFonts w:cs="Arial" w:ascii="Arial" w:hAnsi="Arial"/>
          <w:b/>
          <w:bCs/>
          <w:sz w:val="18"/>
          <w:szCs w:val="18"/>
        </w:rPr>
        <w:t xml:space="preserve">5. </w:t>
      </w:r>
      <w:r>
        <w:rPr>
          <w:rFonts w:cs="Arial" w:ascii="Arial" w:hAnsi="Arial"/>
          <w:sz w:val="18"/>
          <w:szCs w:val="18"/>
        </w:rPr>
        <w:t>Declaramos que a Garantia da obra será pelo período de 05 (cinco) anos, nos termos do art. 618 do Código Civil Brasileiro, ficando responsável, neste período, a reparar, corrigir, remover, reconstruir ou substituir, a suas expensas, no total ou em parte, os serviços e obra empreitada, toda vez que forem apontados vícios ou irregularidades pelo Município, contados da data do recebimento definitivo do objeto licitado.</w:t>
      </w:r>
    </w:p>
    <w:p>
      <w:pPr>
        <w:pStyle w:val="Standard"/>
        <w:spacing w:lineRule="auto" w:line="240" w:before="0" w:after="0"/>
        <w:ind w:left="0" w:right="0" w:hanging="0"/>
        <w:jc w:val="both"/>
        <w:rPr>
          <w:rFonts w:ascii="Arial" w:hAnsi="Arial" w:cs="Arial"/>
          <w:b/>
          <w:b/>
          <w:bCs/>
          <w:color w:val="5B5B5F"/>
          <w:sz w:val="26"/>
          <w:szCs w:val="26"/>
        </w:rPr>
      </w:pPr>
      <w:r>
        <w:rPr>
          <w:rFonts w:cs="Arial" w:ascii="Arial" w:hAnsi="Arial"/>
          <w:b/>
          <w:bCs/>
          <w:sz w:val="18"/>
          <w:szCs w:val="18"/>
        </w:rPr>
        <w:t>6.</w:t>
      </w:r>
      <w:r>
        <w:rPr>
          <w:rFonts w:cs="Arial" w:ascii="Arial" w:hAnsi="Arial"/>
          <w:sz w:val="18"/>
          <w:szCs w:val="18"/>
        </w:rPr>
        <w:t xml:space="preserve"> Declaramos que o prazo de validade para a nossa proposta é de 60 (sessenta) dias.</w:t>
      </w:r>
    </w:p>
    <w:p>
      <w:pPr>
        <w:pStyle w:val="Standard"/>
        <w:spacing w:lineRule="auto" w:line="240" w:before="0" w:after="0"/>
        <w:ind w:left="0" w:right="0" w:hanging="0"/>
        <w:jc w:val="both"/>
        <w:rPr>
          <w:rFonts w:ascii="Arial" w:hAnsi="Arial" w:cs="Arial"/>
          <w:color w:val="000000"/>
          <w:sz w:val="18"/>
          <w:szCs w:val="18"/>
        </w:rPr>
      </w:pPr>
      <w:r>
        <w:rPr>
          <w:rFonts w:cs="Arial" w:ascii="Arial" w:hAnsi="Arial"/>
          <w:color w:val="000000"/>
          <w:sz w:val="18"/>
          <w:szCs w:val="18"/>
        </w:rPr>
      </w:r>
    </w:p>
    <w:p>
      <w:pPr>
        <w:pStyle w:val="Standard"/>
        <w:spacing w:lineRule="auto" w:line="240" w:before="0" w:after="0"/>
        <w:ind w:left="0" w:right="0" w:hanging="0"/>
        <w:jc w:val="both"/>
        <w:rPr>
          <w:rFonts w:ascii="Arial" w:hAnsi="Arial" w:cs="Arial"/>
          <w:color w:val="000000"/>
          <w:sz w:val="18"/>
          <w:szCs w:val="18"/>
        </w:rPr>
      </w:pPr>
      <w:r>
        <w:rPr>
          <w:rFonts w:cs="Arial" w:ascii="Arial" w:hAnsi="Arial"/>
          <w:color w:val="000000"/>
          <w:sz w:val="18"/>
          <w:szCs w:val="18"/>
        </w:rPr>
        <w:t>À elevada consideração de V. S.as.</w:t>
      </w:r>
    </w:p>
    <w:p>
      <w:pPr>
        <w:pStyle w:val="Standard"/>
        <w:tabs>
          <w:tab w:val="clear" w:pos="708"/>
          <w:tab w:val="right" w:pos="-17118" w:leader="underscore"/>
        </w:tabs>
        <w:spacing w:lineRule="auto" w:line="240" w:before="0" w:after="0"/>
        <w:ind w:left="0" w:right="0" w:hanging="0"/>
        <w:jc w:val="center"/>
        <w:rPr>
          <w:rFonts w:ascii="Arial" w:hAnsi="Arial" w:cs="Arial"/>
          <w:color w:val="000000"/>
          <w:sz w:val="18"/>
          <w:szCs w:val="18"/>
        </w:rPr>
      </w:pPr>
      <w:r>
        <w:rPr>
          <w:rFonts w:cs="Arial" w:ascii="Arial" w:hAnsi="Arial"/>
          <w:color w:val="000000"/>
          <w:sz w:val="18"/>
          <w:szCs w:val="18"/>
        </w:rPr>
        <w:t>__</w:t>
      </w:r>
    </w:p>
    <w:p>
      <w:pPr>
        <w:pStyle w:val="Standard"/>
        <w:tabs>
          <w:tab w:val="clear" w:pos="708"/>
          <w:tab w:val="right" w:pos="-17118" w:leader="underscore"/>
        </w:tabs>
        <w:spacing w:lineRule="auto" w:line="240" w:before="0" w:after="0"/>
        <w:ind w:left="0" w:right="0" w:hanging="0"/>
        <w:jc w:val="center"/>
        <w:rPr>
          <w:rFonts w:ascii="Arial" w:hAnsi="Arial" w:cs="Arial"/>
          <w:color w:val="000000"/>
          <w:sz w:val="18"/>
          <w:szCs w:val="18"/>
        </w:rPr>
      </w:pPr>
      <w:r>
        <w:rPr>
          <w:rFonts w:cs="Arial" w:ascii="Arial" w:hAnsi="Arial"/>
          <w:color w:val="000000"/>
          <w:sz w:val="18"/>
          <w:szCs w:val="18"/>
        </w:rPr>
      </w:r>
    </w:p>
    <w:p>
      <w:pPr>
        <w:pStyle w:val="Standard"/>
        <w:tabs>
          <w:tab w:val="clear" w:pos="708"/>
          <w:tab w:val="right" w:pos="-17118" w:leader="underscore"/>
        </w:tabs>
        <w:spacing w:lineRule="auto" w:line="240" w:before="0" w:after="0"/>
        <w:ind w:left="0" w:right="0" w:hanging="0"/>
        <w:jc w:val="center"/>
        <w:rPr>
          <w:rFonts w:ascii="Arial" w:hAnsi="Arial" w:cs="Arial"/>
          <w:color w:val="000000"/>
          <w:sz w:val="18"/>
          <w:szCs w:val="18"/>
        </w:rPr>
      </w:pPr>
      <w:r>
        <w:rPr>
          <w:rFonts w:cs="Arial" w:ascii="Arial" w:hAnsi="Arial"/>
          <w:color w:val="000000"/>
          <w:sz w:val="18"/>
          <w:szCs w:val="18"/>
        </w:rPr>
      </w:r>
    </w:p>
    <w:p>
      <w:pPr>
        <w:pStyle w:val="Standard"/>
        <w:tabs>
          <w:tab w:val="clear" w:pos="708"/>
          <w:tab w:val="right" w:pos="-17118" w:leader="underscore"/>
        </w:tabs>
        <w:spacing w:lineRule="auto" w:line="240" w:before="0" w:after="0"/>
        <w:ind w:left="0" w:right="0" w:hanging="0"/>
        <w:jc w:val="center"/>
        <w:rPr>
          <w:rFonts w:ascii="Arial" w:hAnsi="Arial" w:cs="Arial"/>
          <w:color w:val="000000"/>
          <w:sz w:val="18"/>
          <w:szCs w:val="18"/>
        </w:rPr>
      </w:pPr>
      <w:r>
        <w:rPr>
          <w:rFonts w:cs="Arial" w:ascii="Arial" w:hAnsi="Arial"/>
          <w:color w:val="000000"/>
          <w:sz w:val="18"/>
          <w:szCs w:val="18"/>
        </w:rPr>
        <w:t>_______________________</w:t>
      </w:r>
    </w:p>
    <w:p>
      <w:pPr>
        <w:pStyle w:val="Standard"/>
        <w:spacing w:lineRule="auto" w:line="240" w:before="0" w:after="0"/>
        <w:ind w:left="0" w:right="0" w:hanging="0"/>
        <w:jc w:val="center"/>
        <w:rPr>
          <w:rFonts w:ascii="Arial" w:hAnsi="Arial" w:cs="Arial"/>
          <w:color w:val="000000"/>
          <w:sz w:val="18"/>
          <w:szCs w:val="18"/>
        </w:rPr>
      </w:pPr>
      <w:r>
        <w:rPr>
          <w:rFonts w:cs="Arial" w:ascii="Arial" w:hAnsi="Arial"/>
          <w:color w:val="000000"/>
          <w:sz w:val="18"/>
          <w:szCs w:val="18"/>
        </w:rPr>
        <w:t>Responsável pela Firma</w:t>
      </w:r>
    </w:p>
    <w:p>
      <w:pPr>
        <w:pStyle w:val="Standard"/>
        <w:spacing w:lineRule="auto" w:line="240" w:before="0" w:after="0"/>
        <w:ind w:left="0" w:right="0" w:hanging="0"/>
        <w:rPr>
          <w:rFonts w:ascii="Arial" w:hAnsi="Arial" w:cs="Arial"/>
          <w:b/>
          <w:b/>
          <w:color w:val="000000"/>
          <w:sz w:val="18"/>
          <w:szCs w:val="18"/>
          <w:u w:val="single"/>
        </w:rPr>
      </w:pPr>
      <w:r>
        <w:rPr>
          <w:rFonts w:cs="Arial" w:ascii="Arial" w:hAnsi="Arial"/>
          <w:b/>
          <w:color w:val="000000"/>
          <w:sz w:val="18"/>
          <w:szCs w:val="18"/>
          <w:u w:val="single"/>
        </w:rPr>
      </w:r>
    </w:p>
    <w:p>
      <w:pPr>
        <w:pStyle w:val="Standard"/>
        <w:spacing w:lineRule="auto" w:line="240" w:before="0" w:after="0"/>
        <w:ind w:left="0" w:right="0" w:hanging="0"/>
        <w:rPr>
          <w:rFonts w:ascii="Arial" w:hAnsi="Arial" w:cs="Arial"/>
          <w:b/>
          <w:b/>
          <w:color w:val="000000"/>
          <w:sz w:val="18"/>
          <w:szCs w:val="18"/>
          <w:u w:val="single"/>
        </w:rPr>
      </w:pPr>
      <w:r>
        <w:rPr>
          <w:rFonts w:cs="Arial" w:ascii="Arial" w:hAnsi="Arial"/>
          <w:b/>
          <w:color w:val="000000"/>
          <w:sz w:val="18"/>
          <w:szCs w:val="18"/>
          <w:u w:val="single"/>
        </w:rPr>
      </w:r>
    </w:p>
    <w:p>
      <w:pPr>
        <w:pStyle w:val="Standard"/>
        <w:tabs>
          <w:tab w:val="clear" w:pos="708"/>
          <w:tab w:val="left" w:pos="7338" w:leader="none"/>
        </w:tabs>
        <w:bidi w:val="0"/>
        <w:spacing w:lineRule="auto" w:line="240" w:before="0" w:after="0"/>
        <w:ind w:left="0" w:right="0" w:hanging="0"/>
        <w:jc w:val="both"/>
        <w:rPr>
          <w:rFonts w:ascii="Arial" w:hAnsi="Arial" w:cs="Arial"/>
          <w:b/>
          <w:b/>
          <w:color w:val="000000"/>
          <w:sz w:val="18"/>
          <w:szCs w:val="18"/>
          <w:u w:val="single"/>
        </w:rPr>
      </w:pPr>
      <w:r>
        <w:rPr>
          <w:rFonts w:cs="Arial" w:ascii="Arial" w:hAnsi="Arial"/>
          <w:b/>
          <w:color w:val="000000"/>
          <w:sz w:val="18"/>
          <w:szCs w:val="18"/>
          <w:u w:val="single"/>
        </w:rPr>
        <w:t>Observação: Anexar planilhas e cronograma-físico-financeiro</w:t>
      </w:r>
    </w:p>
    <w:p>
      <w:pPr>
        <w:pStyle w:val="Standard"/>
        <w:tabs>
          <w:tab w:val="clear" w:pos="708"/>
          <w:tab w:val="left" w:pos="7338" w:leader="none"/>
        </w:tabs>
        <w:bidi w:val="0"/>
        <w:spacing w:lineRule="auto" w:line="240" w:before="0" w:after="0"/>
        <w:ind w:left="0" w:right="0" w:hanging="0"/>
        <w:jc w:val="both"/>
        <w:rPr>
          <w:rStyle w:val="Strong"/>
          <w:rFonts w:ascii="Arial" w:hAnsi="Arial" w:eastAsia="NSimSun" w:cs="Arial"/>
          <w:b/>
          <w:b/>
          <w:bCs/>
          <w:i w:val="false"/>
          <w:i w:val="false"/>
          <w:caps w:val="false"/>
          <w:smallCaps w:val="false"/>
          <w:color w:val="000000"/>
          <w:spacing w:val="0"/>
          <w:kern w:val="2"/>
          <w:sz w:val="18"/>
          <w:szCs w:val="18"/>
          <w:u w:val="single"/>
          <w:shd w:fill="FFFFFF" w:val="clear"/>
          <w:lang w:val="pt-BR" w:eastAsia="zh-CN" w:bidi="hi-IN"/>
        </w:rPr>
      </w:pPr>
      <w:r>
        <w:rPr>
          <w:rFonts w:eastAsia="NSimSun" w:cs="Arial" w:ascii="Arial" w:hAnsi="Arial"/>
          <w:b/>
          <w:bCs/>
          <w:i w:val="false"/>
          <w:caps w:val="false"/>
          <w:smallCaps w:val="false"/>
          <w:color w:val="000000"/>
          <w:spacing w:val="0"/>
          <w:kern w:val="2"/>
          <w:sz w:val="18"/>
          <w:szCs w:val="18"/>
          <w:u w:val="single"/>
          <w:shd w:fill="FFFFFF" w:val="clear"/>
          <w:lang w:val="pt-BR" w:eastAsia="zh-CN" w:bidi="hi-IN"/>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r>
        <w:br w:type="page"/>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right"/>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center"/>
        <w:rPr>
          <w:rFonts w:ascii="Arial" w:hAnsi="Arial" w:cs="Arial"/>
          <w:b/>
          <w:b/>
          <w:bCs/>
          <w:color w:val="auto"/>
          <w:sz w:val="20"/>
          <w:szCs w:val="20"/>
        </w:rPr>
      </w:pPr>
      <w:r>
        <w:rPr>
          <w:rFonts w:cs="Arial"/>
          <w:b/>
          <w:bCs/>
          <w:color w:val="auto"/>
          <w:sz w:val="20"/>
          <w:szCs w:val="20"/>
        </w:rPr>
        <w:t xml:space="preserve">ANEXO IV - MODELO DE DECLARAÇÕES </w:t>
      </w:r>
    </w:p>
    <w:p>
      <w:pPr>
        <w:pStyle w:val="Normal"/>
        <w:bidi w:val="0"/>
        <w:spacing w:lineRule="auto" w:line="240" w:before="0" w:after="0"/>
        <w:ind w:left="0" w:right="0" w:hanging="0"/>
        <w:jc w:val="center"/>
        <w:rPr>
          <w:rFonts w:ascii="Arial" w:hAnsi="Arial" w:cs="Arial"/>
          <w:b/>
          <w:b/>
          <w:bCs/>
          <w:color w:val="auto"/>
          <w:sz w:val="20"/>
          <w:szCs w:val="20"/>
        </w:rPr>
      </w:pPr>
      <w:r>
        <w:rPr>
          <w:rFonts w:cs="Arial"/>
          <w:b/>
          <w:bCs/>
          <w:color w:val="auto"/>
          <w:sz w:val="20"/>
          <w:szCs w:val="20"/>
        </w:rPr>
        <w:t xml:space="preserve">(FASE DE HABILITAÇÃO) </w:t>
      </w:r>
    </w:p>
    <w:p>
      <w:pPr>
        <w:pStyle w:val="Normal"/>
        <w:bidi w:val="0"/>
        <w:spacing w:lineRule="auto" w:line="240" w:before="0" w:after="0"/>
        <w:ind w:left="0" w:right="0" w:hanging="0"/>
        <w:jc w:val="both"/>
        <w:rPr>
          <w:rFonts w:ascii="Arial" w:hAnsi="Arial" w:cs="Arial"/>
          <w:b/>
          <w:b/>
          <w:bCs/>
          <w:color w:val="5B5B5F"/>
          <w:sz w:val="26"/>
          <w:szCs w:val="26"/>
        </w:rPr>
      </w:pPr>
      <w:r>
        <w:rPr>
          <w:rFonts w:eastAsia="ＭＳ 明朝" w:cs="Arial"/>
          <w:b/>
          <w:bCs/>
          <w:color w:val="auto"/>
          <w:kern w:val="0"/>
          <w:sz w:val="20"/>
          <w:szCs w:val="20"/>
          <w:lang w:val="pt-BR" w:eastAsia="pt-BR" w:bidi="ar-SA"/>
        </w:rPr>
        <w:t>CONCORRÊNCIA</w:t>
      </w:r>
      <w:r>
        <w:rPr>
          <w:rFonts w:cs="Arial"/>
          <w:b/>
          <w:bCs/>
          <w:color w:val="auto"/>
          <w:sz w:val="20"/>
          <w:szCs w:val="20"/>
        </w:rPr>
        <w:t xml:space="preserve"> ELETRÔNICA Nº .../2024</w:t>
      </w:r>
    </w:p>
    <w:p>
      <w:pPr>
        <w:pStyle w:val="Normal"/>
        <w:bidi w:val="0"/>
        <w:spacing w:lineRule="auto" w:line="240" w:before="0" w:after="0"/>
        <w:ind w:left="0" w:right="0" w:hanging="0"/>
        <w:jc w:val="both"/>
        <w:rPr>
          <w:rFonts w:ascii="Arial" w:hAnsi="Arial" w:cs="Arial"/>
          <w:b/>
          <w:b/>
          <w:bCs/>
          <w:color w:val="auto"/>
          <w:sz w:val="20"/>
          <w:szCs w:val="20"/>
        </w:rPr>
      </w:pPr>
      <w:r>
        <w:rPr>
          <w:rFonts w:cs="Arial"/>
          <w:b/>
          <w:bCs/>
          <w:color w:val="auto"/>
          <w:sz w:val="20"/>
          <w:szCs w:val="20"/>
        </w:rPr>
        <w:t>PROCESSO Nº …./2024</w:t>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t>Eu ......................... (nome completo), representante legal da empresa ...................... (denominação da pessoa jurídica), participante da concorrência referenciado realizado pelo Prefeitura de Paraguaçu Paulista, DECLARO, sob as penas da lei:</w:t>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t xml:space="preserve">a) que estamos sob o regime de Microempresa ou Empresa de Pequeno Porte ou Microempreendedor Individual, para efeito do disposto na Lei Complementar nº 123/06, observado o disposto nos §§ 1º ao 3º do art. 4º, da Lei nº 14.133/2021: </w:t>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t xml:space="preserve">b) que atendemos aos requisitos de habilitação, e que o declarante responderá pela veracidade das informações prestadas, na forma da lei. </w:t>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t>c) que cumprimos as exigências de reserva de cargos para pessoa com deficiência e para reabilitado da Previdência Social, previstas em lei e em outras normas específicas.</w:t>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t>d) que a proposta econômica compreende a integralidade dos custos para atendimento dos direitos trabalhistas assegurados na Constituição Federal, nas leis trabalhistas, nas normas infralegais, nas convenções coletivas de trabalho e nos termos de ajustamento de condutas vigentes na data de entrega da proposta.</w:t>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t>e) que a empresa não está impossibilitada de participar da licitação em decorrência de sanção que lhe foi imposta, conforme Inciso III do art. 14 da Lei 14.133/2021.</w:t>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t xml:space="preserve">f) que não possui qualquer dos impedimentos previstos nos §§ 4° e seguintes, todos do artigo 3° da Lei Complementar n° 123/2.006, alterada, cujos termos declara conhecer na íntegra. (§ 2º do art. 4º da Lei nº 14.133/2021). </w:t>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t>g) A empresa declara ainda que tem ciência que “a falsidade de declaração prestada objetivando benefícios na presente licitação, caracterizará o crime de que trata o Art. 299 do Código Penal, sem prejuízo do enquadramento em outras figuras penais e das sanções administrativas previstas na Lei nº 14.133/2021”.</w:t>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t xml:space="preserve">h) A empresa, no uso de suas atribuições legais, vem declarar, para fins de participação de processo licitatório, sob as penas da Lei, de que atende ao Inciso IV do art. 14 da Lei nº 14.133/2021 no que infere ao vínculo de eventuais servidores públicos desse órgão à empresa. </w:t>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t>i) Declaramos que a empresa se encontra em situação regular perante o Ministério do Trabalho, no que se refere à observância do disposto no inciso XXXIII do artigo 7° da Constituição Federal, não utiliza menores de 18 (dezoito) anos para trabalho noturno, perigoso ou insalubre; nem menores de 16 (dezesseis) anos para qualquer trabalho, salvo na condição de aprendiz, a partir de 14 anos. Nos termos do artigo 1º, do Decreto Federal nº 4.358/2002.</w:t>
      </w:r>
    </w:p>
    <w:p>
      <w:pPr>
        <w:pStyle w:val="Normal"/>
        <w:suppressAutoHyphens w:val="true"/>
        <w:bidi w:val="0"/>
        <w:spacing w:lineRule="auto" w:line="240" w:before="0" w:after="0"/>
        <w:ind w:left="0" w:right="0" w:hanging="0"/>
        <w:jc w:val="both"/>
        <w:rPr>
          <w:rFonts w:ascii="Arial" w:hAnsi="Arial" w:eastAsia="NSimSun" w:cs="Arial"/>
          <w:b w:val="false"/>
          <w:b w:val="false"/>
          <w:bCs w:val="false"/>
          <w:color w:val="auto"/>
          <w:kern w:val="2"/>
          <w:sz w:val="20"/>
          <w:szCs w:val="20"/>
          <w:lang w:val="pt-BR" w:eastAsia="zh-CN" w:bidi="hi-IN"/>
        </w:rPr>
      </w:pPr>
      <w:r>
        <w:rPr>
          <w:rFonts w:eastAsia="NSimSun" w:cs="Arial"/>
          <w:b w:val="false"/>
          <w:bCs w:val="false"/>
          <w:color w:val="auto"/>
          <w:kern w:val="2"/>
          <w:sz w:val="20"/>
          <w:szCs w:val="20"/>
          <w:lang w:val="pt-BR" w:eastAsia="zh-CN" w:bidi="hi-IN"/>
        </w:rPr>
      </w:r>
    </w:p>
    <w:p>
      <w:pPr>
        <w:pStyle w:val="Normal"/>
        <w:bidi w:val="0"/>
        <w:spacing w:lineRule="auto" w:line="240" w:before="0" w:after="0"/>
        <w:ind w:left="0" w:right="0" w:hanging="0"/>
        <w:jc w:val="right"/>
        <w:rPr>
          <w:rFonts w:ascii="Arial" w:hAnsi="Arial" w:cs="Arial"/>
          <w:b/>
          <w:b/>
          <w:bCs/>
          <w:color w:val="5B5B5F"/>
          <w:sz w:val="26"/>
          <w:szCs w:val="26"/>
        </w:rPr>
      </w:pPr>
      <w:r>
        <w:rPr>
          <w:rFonts w:eastAsia="Arial" w:cs="Arial"/>
          <w:color w:val="auto"/>
          <w:sz w:val="20"/>
          <w:szCs w:val="20"/>
        </w:rPr>
        <w:t xml:space="preserve"> </w:t>
      </w:r>
      <w:r>
        <w:rPr>
          <w:rFonts w:cs="Arial"/>
          <w:color w:val="auto"/>
          <w:sz w:val="20"/>
          <w:szCs w:val="20"/>
        </w:rPr>
        <w:t>....................., ............ de ............................ de 2024.</w:t>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both"/>
        <w:rPr>
          <w:rFonts w:ascii="Arial" w:hAnsi="Arial" w:cs="Arial"/>
          <w:color w:val="auto"/>
          <w:sz w:val="20"/>
          <w:szCs w:val="20"/>
        </w:rPr>
      </w:pPr>
      <w:r>
        <w:rPr>
          <w:rFonts w:cs="Arial"/>
          <w:color w:val="auto"/>
          <w:sz w:val="20"/>
          <w:szCs w:val="20"/>
        </w:rPr>
      </w:r>
    </w:p>
    <w:p>
      <w:pPr>
        <w:pStyle w:val="Normal"/>
        <w:bidi w:val="0"/>
        <w:spacing w:lineRule="auto" w:line="240" w:before="0" w:after="0"/>
        <w:ind w:left="0" w:right="0" w:hanging="0"/>
        <w:jc w:val="center"/>
        <w:rPr>
          <w:rFonts w:ascii="Arial" w:hAnsi="Arial" w:cs="Arial"/>
          <w:b/>
          <w:b/>
          <w:bCs/>
          <w:color w:val="5B5B5F"/>
          <w:sz w:val="26"/>
          <w:szCs w:val="26"/>
        </w:rPr>
      </w:pPr>
      <w:r>
        <w:rPr>
          <w:rFonts w:eastAsia="Arial" w:cs="Arial"/>
          <w:color w:val="auto"/>
          <w:sz w:val="20"/>
          <w:szCs w:val="20"/>
        </w:rPr>
        <w:t xml:space="preserve"> </w:t>
      </w:r>
      <w:r>
        <w:rPr>
          <w:rFonts w:cs="Arial"/>
          <w:color w:val="auto"/>
          <w:sz w:val="20"/>
          <w:szCs w:val="20"/>
        </w:rPr>
        <w:t xml:space="preserve">___________________________________ </w:t>
      </w:r>
    </w:p>
    <w:p>
      <w:pPr>
        <w:pStyle w:val="Normal"/>
        <w:bidi w:val="0"/>
        <w:spacing w:lineRule="auto" w:line="240" w:before="0" w:after="0"/>
        <w:ind w:left="0" w:right="0" w:hanging="0"/>
        <w:jc w:val="center"/>
        <w:rPr>
          <w:rFonts w:ascii="Arial" w:hAnsi="Arial" w:cs="Arial"/>
          <w:color w:val="auto"/>
          <w:sz w:val="20"/>
          <w:szCs w:val="20"/>
        </w:rPr>
      </w:pPr>
      <w:r>
        <w:rPr>
          <w:rFonts w:cs="Arial"/>
          <w:color w:val="auto"/>
          <w:sz w:val="20"/>
          <w:szCs w:val="20"/>
        </w:rPr>
        <w:t xml:space="preserve">Nome e assinatura do representante legal </w:t>
      </w:r>
    </w:p>
    <w:p>
      <w:pPr>
        <w:pStyle w:val="Normal"/>
        <w:bidi w:val="0"/>
        <w:spacing w:lineRule="auto" w:line="240" w:before="0" w:after="0"/>
        <w:ind w:left="0" w:right="0" w:hanging="0"/>
        <w:jc w:val="center"/>
        <w:rPr>
          <w:rFonts w:ascii="Arial" w:hAnsi="Arial" w:cs="Arial"/>
          <w:color w:val="auto"/>
          <w:sz w:val="20"/>
          <w:szCs w:val="20"/>
        </w:rPr>
      </w:pPr>
      <w:r>
        <w:rPr>
          <w:rFonts w:cs="Arial"/>
          <w:color w:val="auto"/>
          <w:sz w:val="20"/>
          <w:szCs w:val="20"/>
        </w:rPr>
        <w:t xml:space="preserve">RG nº........................... </w:t>
      </w:r>
    </w:p>
    <w:p>
      <w:pPr>
        <w:pStyle w:val="Normal"/>
        <w:spacing w:lineRule="auto" w:line="240" w:before="0" w:after="0"/>
        <w:ind w:left="0" w:right="0" w:hanging="0"/>
        <w:jc w:val="center"/>
        <w:rPr>
          <w:rFonts w:ascii="Arial" w:hAnsi="Arial" w:cs="Arial"/>
          <w:sz w:val="20"/>
          <w:szCs w:val="20"/>
        </w:rPr>
      </w:pPr>
      <w:r>
        <w:rPr>
          <w:rFonts w:cs="Arial"/>
          <w:sz w:val="20"/>
          <w:szCs w:val="20"/>
        </w:rPr>
      </w:r>
    </w:p>
    <w:p>
      <w:pPr>
        <w:pStyle w:val="Normal"/>
        <w:spacing w:lineRule="auto" w:line="240" w:before="0" w:after="0"/>
        <w:ind w:left="0" w:right="0" w:hanging="0"/>
        <w:jc w:val="center"/>
        <w:rPr>
          <w:rFonts w:ascii="Arial" w:hAnsi="Arial" w:cs="Arial"/>
          <w:b/>
          <w:b/>
          <w:bCs/>
          <w:iCs/>
          <w:color w:val="000000"/>
          <w:sz w:val="20"/>
          <w:szCs w:val="20"/>
        </w:rPr>
      </w:pPr>
      <w:r>
        <w:rPr>
          <w:rFonts w:cs="Arial"/>
          <w:b/>
          <w:bCs/>
          <w:iCs/>
          <w:color w:val="000000"/>
          <w:sz w:val="20"/>
          <w:szCs w:val="20"/>
        </w:rPr>
      </w:r>
      <w:r>
        <w:br w:type="page"/>
      </w:r>
    </w:p>
    <w:p>
      <w:pPr>
        <w:pStyle w:val="Normal"/>
        <w:spacing w:lineRule="auto" w:line="240" w:before="0" w:after="0"/>
        <w:ind w:left="0" w:right="0" w:hanging="0"/>
        <w:jc w:val="center"/>
        <w:rPr>
          <w:rFonts w:ascii="Arial" w:hAnsi="Arial" w:cs="Arial"/>
          <w:b/>
          <w:b/>
          <w:bCs/>
          <w:iCs/>
          <w:color w:val="000000"/>
          <w:sz w:val="20"/>
          <w:szCs w:val="20"/>
        </w:rPr>
      </w:pPr>
      <w:r>
        <w:rPr>
          <w:rFonts w:cs="Arial"/>
          <w:b/>
          <w:bCs/>
          <w:iCs/>
          <w:color w:val="000000"/>
          <w:sz w:val="20"/>
          <w:szCs w:val="20"/>
        </w:rPr>
      </w:r>
    </w:p>
    <w:p>
      <w:pPr>
        <w:pStyle w:val="Normal"/>
        <w:spacing w:lineRule="auto" w:line="240" w:before="0" w:after="0"/>
        <w:ind w:left="0" w:right="0" w:hanging="0"/>
        <w:jc w:val="center"/>
        <w:rPr>
          <w:rFonts w:ascii="Arial" w:hAnsi="Arial"/>
          <w:sz w:val="20"/>
          <w:szCs w:val="20"/>
        </w:rPr>
      </w:pPr>
      <w:r>
        <w:rPr>
          <w:rFonts w:cs="Arial"/>
          <w:b/>
          <w:bCs/>
          <w:iCs/>
          <w:color w:val="000000"/>
          <w:sz w:val="20"/>
          <w:szCs w:val="20"/>
        </w:rPr>
        <w:t>ANEXO V</w:t>
      </w:r>
    </w:p>
    <w:p>
      <w:pPr>
        <w:pStyle w:val="Normal"/>
        <w:spacing w:lineRule="auto" w:line="240" w:before="0" w:after="0"/>
        <w:ind w:left="0" w:right="0" w:hanging="0"/>
        <w:jc w:val="center"/>
        <w:rPr>
          <w:rFonts w:ascii="Arial" w:hAnsi="Arial"/>
          <w:sz w:val="20"/>
          <w:szCs w:val="20"/>
        </w:rPr>
      </w:pPr>
      <w:r>
        <w:rPr>
          <w:rFonts w:cs="Arial"/>
          <w:b/>
          <w:bCs/>
          <w:iCs/>
          <w:color w:val="000000"/>
          <w:sz w:val="20"/>
          <w:szCs w:val="20"/>
        </w:rPr>
        <w:t xml:space="preserve">MINUTA </w:t>
      </w:r>
      <w:r>
        <w:rPr>
          <w:rFonts w:eastAsia="ＭＳ 明朝" w:cs="Arial"/>
          <w:b/>
          <w:bCs/>
          <w:iCs/>
          <w:color w:val="000000"/>
          <w:kern w:val="0"/>
          <w:sz w:val="20"/>
          <w:szCs w:val="20"/>
          <w:lang w:val="pt-BR" w:eastAsia="pt-BR" w:bidi="ar-SA"/>
        </w:rPr>
        <w:t>DO CONTRATO</w:t>
      </w:r>
    </w:p>
    <w:p>
      <w:pPr>
        <w:pStyle w:val="Standard"/>
        <w:spacing w:lineRule="auto" w:line="240" w:before="0" w:after="0"/>
        <w:ind w:left="0" w:right="0" w:hanging="0"/>
        <w:jc w:val="both"/>
        <w:rPr>
          <w:rFonts w:ascii="Arial" w:hAnsi="Arial"/>
          <w:sz w:val="20"/>
          <w:szCs w:val="20"/>
        </w:rPr>
      </w:pPr>
      <w:r>
        <w:rPr>
          <w:rFonts w:cs="Arial" w:ascii="Arial" w:hAnsi="Arial"/>
          <w:b/>
          <w:bCs w:val="false"/>
          <w:color w:val="000000"/>
          <w:sz w:val="20"/>
          <w:szCs w:val="20"/>
          <w:shd w:fill="FFFFFF" w:val="clear"/>
        </w:rPr>
        <w:t>CONTRATO Nº .../2024 QUE, ENTRE SI, CELEBRAM A PREFEITURA MUNICIPAL DA ESTÂNCIA TURÍSTICA DE PARAGUAÇU PAULISTA E A EMPRESA ..., PARA OS FINS QUE SE ESPECIFICA</w:t>
      </w:r>
      <w:r>
        <w:rPr>
          <w:rFonts w:cs="Arial" w:ascii="Arial" w:hAnsi="Arial"/>
          <w:b/>
          <w:bCs w:val="false"/>
          <w:i/>
          <w:color w:val="000000"/>
          <w:sz w:val="20"/>
          <w:szCs w:val="20"/>
          <w:shd w:fill="FFFFFF" w:val="clear"/>
        </w:rPr>
        <w:t xml:space="preserve">.  CONCORRÊNCIA </w:t>
      </w:r>
      <w:r>
        <w:rPr>
          <w:rFonts w:cs="Arial" w:ascii="Arial" w:hAnsi="Arial"/>
          <w:b/>
          <w:bCs w:val="false"/>
          <w:i w:val="false"/>
          <w:iCs w:val="false"/>
          <w:color w:val="000000"/>
          <w:sz w:val="20"/>
          <w:szCs w:val="20"/>
          <w:shd w:fill="FFFFFF" w:val="clear"/>
        </w:rPr>
        <w:t xml:space="preserve"> nº .../2024</w:t>
      </w:r>
    </w:p>
    <w:p>
      <w:pPr>
        <w:pStyle w:val="Normal"/>
        <w:spacing w:lineRule="auto" w:line="240" w:before="0" w:after="0"/>
        <w:ind w:left="0" w:right="0" w:hanging="0"/>
        <w:jc w:val="both"/>
        <w:rPr>
          <w:rFonts w:ascii="Arial" w:hAnsi="Arial"/>
          <w:color w:val="000000"/>
          <w:sz w:val="20"/>
          <w:szCs w:val="20"/>
          <w:shd w:fill="FFFFFF" w:val="clear"/>
        </w:rPr>
      </w:pPr>
      <w:r>
        <w:rPr>
          <w:color w:val="000000"/>
          <w:sz w:val="20"/>
          <w:szCs w:val="20"/>
          <w:shd w:fill="FFFFFF" w:val="clear"/>
        </w:rPr>
      </w:r>
    </w:p>
    <w:p>
      <w:pPr>
        <w:pStyle w:val="Normal"/>
        <w:spacing w:lineRule="auto" w:line="240" w:before="0" w:after="0"/>
        <w:ind w:left="0" w:right="0" w:hanging="0"/>
        <w:jc w:val="both"/>
        <w:rPr>
          <w:rFonts w:ascii="Arial" w:hAnsi="Arial" w:cs="Arial"/>
          <w:b/>
          <w:b/>
          <w:bCs/>
          <w:color w:val="5B5B5F"/>
          <w:sz w:val="26"/>
          <w:szCs w:val="26"/>
        </w:rPr>
      </w:pPr>
      <w:r>
        <w:rPr>
          <w:rFonts w:eastAsia="Arial" w:cs="Arial"/>
          <w:color w:val="000000"/>
          <w:sz w:val="20"/>
          <w:szCs w:val="20"/>
          <w:shd w:fill="FFFFFF" w:val="clear"/>
        </w:rPr>
        <w:t>Aos .. dias do mês de …..</w:t>
      </w:r>
      <w:r>
        <w:rPr>
          <w:rFonts w:eastAsia="Arial" w:cs="Arial"/>
          <w:b/>
          <w:color w:val="000000"/>
          <w:sz w:val="20"/>
          <w:szCs w:val="20"/>
          <w:shd w:fill="FFFFFF" w:val="clear"/>
        </w:rPr>
        <w:t xml:space="preserve"> </w:t>
      </w:r>
      <w:r>
        <w:rPr>
          <w:rFonts w:eastAsia="Arial" w:cs="Arial"/>
          <w:color w:val="000000"/>
          <w:sz w:val="20"/>
          <w:szCs w:val="20"/>
          <w:shd w:fill="FFFFFF" w:val="clear"/>
        </w:rPr>
        <w:t xml:space="preserve">de 2024, de um lado a </w:t>
      </w:r>
      <w:r>
        <w:rPr>
          <w:rFonts w:eastAsia="Arial" w:cs="Arial"/>
          <w:b/>
          <w:color w:val="000000"/>
          <w:sz w:val="20"/>
          <w:szCs w:val="20"/>
          <w:shd w:fill="FFFFFF" w:val="clear"/>
        </w:rPr>
        <w:t>PREFEITURA MUNICIPAL DA ESTÂNCIA TURÍSTICA DE PARAGUAÇU PAULISTA</w:t>
      </w:r>
      <w:r>
        <w:rPr>
          <w:rFonts w:eastAsia="Arial" w:cs="Arial"/>
          <w:color w:val="000000"/>
          <w:sz w:val="20"/>
          <w:szCs w:val="20"/>
          <w:shd w:fill="FFFFFF" w:val="clear"/>
        </w:rPr>
        <w:t xml:space="preserve">, Estado São Paulo, pessoa jurídica de direito público, com sede a Av. Siqueira Campos nº 1.430, inscrita no CNPJ sob o nº44.547.305/0001-93 - Fundo Municipal de Saúde CNPJ sob n.º 11.909.974/0001-09, representada neste ato pelo Prefeito Municipal </w:t>
      </w:r>
      <w:r>
        <w:rPr>
          <w:rFonts w:eastAsia="Arial" w:cs="Arial"/>
          <w:b/>
          <w:color w:val="000000"/>
          <w:sz w:val="20"/>
          <w:szCs w:val="20"/>
          <w:shd w:fill="FFFFFF" w:val="clear"/>
        </w:rPr>
        <w:t xml:space="preserve">Sr. </w:t>
      </w:r>
      <w:r>
        <w:rPr>
          <w:rFonts w:eastAsia="Arial" w:cs="Arial"/>
          <w:b/>
          <w:bCs/>
          <w:color w:val="000000"/>
          <w:sz w:val="20"/>
          <w:szCs w:val="20"/>
          <w:shd w:fill="FFFFFF" w:val="clear"/>
        </w:rPr>
        <w:t>Antonio Takashi Sasada</w:t>
      </w:r>
      <w:r>
        <w:rPr>
          <w:rFonts w:eastAsia="Arial" w:cs="Arial"/>
          <w:color w:val="000000"/>
          <w:sz w:val="20"/>
          <w:szCs w:val="20"/>
          <w:shd w:fill="FFFFFF" w:val="clear"/>
        </w:rPr>
        <w:t xml:space="preserve">, </w:t>
      </w:r>
      <w:commentRangeStart w:id="25"/>
      <w:r>
        <w:rPr>
          <w:rFonts w:eastAsia="Arial" w:cs="Arial"/>
          <w:sz w:val="20"/>
          <w:szCs w:val="20"/>
        </w:rPr>
        <w:t xml:space="preserve"> nomeado(a) pela Portaria nº </w:t>
      </w:r>
      <w:r>
        <w:rPr>
          <w:rFonts w:eastAsia="Arial" w:cs="Arial"/>
          <w:color w:val="FF0000"/>
          <w:sz w:val="20"/>
          <w:szCs w:val="20"/>
        </w:rPr>
        <w:t>.</w:t>
      </w:r>
      <w:r>
        <w:rPr>
          <w:rFonts w:eastAsia="Arial" w:cs="Arial"/>
          <w:color w:val="000000"/>
          <w:sz w:val="20"/>
          <w:szCs w:val="20"/>
        </w:rPr>
        <w:t>....., de ..... de ..................... de 20..., publicada no</w:t>
      </w:r>
      <w:r>
        <w:rPr>
          <w:rFonts w:eastAsia="Arial" w:cs="Arial"/>
          <w:i/>
          <w:iCs/>
          <w:color w:val="000000"/>
          <w:sz w:val="20"/>
          <w:szCs w:val="20"/>
        </w:rPr>
        <w:t xml:space="preserve"> DOU </w:t>
      </w:r>
      <w:r>
        <w:rPr>
          <w:rFonts w:eastAsia="Arial" w:cs="Arial"/>
          <w:color w:val="000000"/>
          <w:sz w:val="20"/>
          <w:szCs w:val="20"/>
        </w:rPr>
        <w:t xml:space="preserve">de ..... de ............... de ..........., portador da Matrícula Funcional nº .........., doravante denominado CONTRATANTE, e o(a) .............................., </w:t>
      </w:r>
      <w:r>
        <w:rPr>
          <w:rFonts w:eastAsia="Arial" w:cs="Arial"/>
          <w:i/>
          <w:iCs/>
          <w:color w:val="000000"/>
          <w:sz w:val="20"/>
          <w:szCs w:val="20"/>
        </w:rPr>
        <w:t>inscrito(a) no CNPJ/MF sob o nº ............................, sediado(a) na</w:t>
      </w:r>
      <w:r>
        <w:rPr>
          <w:rFonts w:eastAsia="Arial" w:cs="Arial"/>
          <w:color w:val="000000"/>
          <w:sz w:val="20"/>
          <w:szCs w:val="20"/>
        </w:rPr>
        <w:t xml:space="preserve"> ..................................., </w:t>
      </w:r>
      <w:r>
        <w:rPr>
          <w:rFonts w:eastAsia="Arial" w:cs="Arial"/>
          <w:i/>
          <w:iCs/>
          <w:color w:val="000000"/>
          <w:sz w:val="20"/>
          <w:szCs w:val="20"/>
        </w:rPr>
        <w:t>em</w:t>
      </w:r>
      <w:r>
        <w:rPr>
          <w:rFonts w:eastAsia="Arial" w:cs="Arial"/>
          <w:color w:val="000000"/>
          <w:sz w:val="20"/>
          <w:szCs w:val="20"/>
        </w:rPr>
        <w:t xml:space="preserve"> ............................. doravante designado CONTRATADO, </w:t>
      </w:r>
      <w:r>
        <w:rPr>
          <w:rFonts w:eastAsia="Arial" w:cs="Arial"/>
          <w:i/>
          <w:iCs/>
          <w:color w:val="000000"/>
          <w:sz w:val="20"/>
          <w:szCs w:val="20"/>
        </w:rPr>
        <w:t>neste ato representado(a) por</w:t>
      </w:r>
      <w:r>
        <w:rPr>
          <w:rFonts w:eastAsia="Arial" w:cs="Arial"/>
          <w:color w:val="000000"/>
          <w:sz w:val="20"/>
          <w:szCs w:val="20"/>
        </w:rPr>
        <w:t xml:space="preserve"> .................................. (nome e função no contratado), </w:t>
      </w:r>
      <w:r>
        <w:rPr>
          <w:rFonts w:eastAsia="Arial" w:cs="Arial"/>
          <w:i/>
          <w:iCs/>
          <w:color w:val="000000"/>
          <w:sz w:val="20"/>
          <w:szCs w:val="20"/>
        </w:rPr>
        <w:t xml:space="preserve">conforme atos constitutivos da empresa </w:t>
      </w:r>
      <w:r>
        <w:rPr>
          <w:rFonts w:eastAsia="Arial" w:cs="Arial"/>
          <w:b/>
          <w:bCs/>
          <w:i/>
          <w:iCs/>
          <w:color w:val="000000"/>
          <w:sz w:val="20"/>
          <w:szCs w:val="20"/>
        </w:rPr>
        <w:t>OU</w:t>
      </w:r>
      <w:r>
        <w:rPr>
          <w:rFonts w:eastAsia="Arial" w:cs="Arial"/>
          <w:i/>
          <w:iCs/>
          <w:color w:val="000000"/>
          <w:sz w:val="20"/>
          <w:szCs w:val="20"/>
        </w:rPr>
        <w:t xml:space="preserve"> procuração apresentada nos autos, </w:t>
      </w:r>
      <w:r>
        <w:rPr>
          <w:rFonts w:eastAsia="Arial" w:cs="Arial"/>
          <w:color w:val="000000"/>
          <w:sz w:val="20"/>
          <w:szCs w:val="20"/>
        </w:rPr>
        <w:t xml:space="preserve">tendo em vista o que consta no Processo nº .............................. e em observância às disposições da </w:t>
      </w:r>
      <w:hyperlink r:id="rId24">
        <w:r>
          <w:rPr>
            <w:rStyle w:val="LinkdaInternet"/>
            <w:rFonts w:eastAsia="Arial" w:cs="Arial"/>
            <w:color w:val="000000"/>
            <w:sz w:val="20"/>
            <w:szCs w:val="20"/>
          </w:rPr>
          <w:t>Lei nº 14.133, de 1º de abril de 2021</w:t>
        </w:r>
      </w:hyperlink>
      <w:r>
        <w:rPr>
          <w:rFonts w:eastAsia="Arial" w:cs="Arial"/>
          <w:color w:val="000000"/>
          <w:sz w:val="20"/>
          <w:szCs w:val="20"/>
        </w:rPr>
        <w:t>,</w:t>
      </w:r>
      <w:r>
        <w:rPr>
          <w:rFonts w:eastAsia="Arial" w:cs="Arial"/>
          <w:color w:val="000000"/>
          <w:sz w:val="20"/>
          <w:szCs w:val="20"/>
          <w:u w:val="single"/>
        </w:rPr>
        <w:t xml:space="preserve"> </w:t>
      </w:r>
      <w:r>
        <w:rPr>
          <w:rFonts w:eastAsia="Arial" w:cs="Arial"/>
          <w:color w:val="000000"/>
          <w:sz w:val="20"/>
          <w:szCs w:val="20"/>
          <w:u w:val="single"/>
          <w:shd w:fill="FFFFFF" w:val="clear"/>
        </w:rPr>
        <w:t>Decreto Municipal  nº 7.055, de 28 de março de 2023</w:t>
      </w:r>
      <w:r>
        <w:rPr>
          <w:rFonts w:eastAsia="Arial" w:cs="Arial"/>
          <w:color w:val="000000"/>
          <w:sz w:val="20"/>
          <w:szCs w:val="20"/>
        </w:rPr>
        <w:t xml:space="preserve"> e demais legislação aplicável, resolvem celebrar o presente Termo de Contrato, decorrente da Concorrência</w:t>
      </w:r>
      <w:r>
        <w:rPr>
          <w:rFonts w:eastAsia="Arial" w:cs="Arial"/>
          <w:i/>
          <w:iCs/>
          <w:color w:val="000000"/>
          <w:sz w:val="20"/>
          <w:szCs w:val="20"/>
        </w:rPr>
        <w:t xml:space="preserve"> Eletrônica n. .../...</w:t>
      </w:r>
      <w:r>
        <w:rPr>
          <w:rFonts w:eastAsia="Arial" w:cs="Arial"/>
          <w:color w:val="000000"/>
          <w:sz w:val="20"/>
          <w:szCs w:val="20"/>
        </w:rPr>
        <w:t>, mediante as cláusulas e condições a seguir enunciadas.</w:t>
      </w:r>
      <w:commentRangeEnd w:id="25"/>
      <w:r>
        <w:commentReference w:id="25"/>
      </w:r>
      <w:r>
        <w:rPr>
          <w:rFonts w:eastAsia="Arial" w:cs="Arial"/>
          <w:color w:val="000000"/>
          <w:sz w:val="20"/>
          <w:szCs w:val="20"/>
        </w:rPr>
      </w:r>
    </w:p>
    <w:p>
      <w:pPr>
        <w:pStyle w:val="Normal"/>
        <w:spacing w:lineRule="auto" w:line="240" w:before="0" w:after="0"/>
        <w:ind w:left="0" w:right="0" w:hanging="0"/>
        <w:jc w:val="both"/>
        <w:rPr>
          <w:rFonts w:ascii="Arial" w:hAnsi="Arial"/>
          <w:sz w:val="20"/>
          <w:szCs w:val="20"/>
        </w:rPr>
      </w:pPr>
      <w:r>
        <w:rPr>
          <w:sz w:val="20"/>
          <w:szCs w:val="20"/>
        </w:rPr>
      </w:r>
    </w:p>
    <w:p>
      <w:pPr>
        <w:pStyle w:val="Nivel01"/>
        <w:numPr>
          <w:ilvl w:val="0"/>
          <w:numId w:val="9"/>
        </w:numPr>
        <w:spacing w:lineRule="auto" w:line="240" w:before="0" w:after="0"/>
        <w:rPr>
          <w:rFonts w:ascii="Arial" w:hAnsi="Arial" w:cs="Arial"/>
          <w:b/>
          <w:b/>
          <w:bCs/>
          <w:color w:val="5B5B5F"/>
          <w:sz w:val="26"/>
          <w:szCs w:val="26"/>
        </w:rPr>
      </w:pPr>
      <w:r>
        <w:rPr>
          <w:sz w:val="20"/>
          <w:szCs w:val="20"/>
        </w:rPr>
        <w:t>CLÁUSULA PRIMEIRA – OBJETO (</w:t>
      </w:r>
      <w:r>
        <w:fldChar w:fldCharType="begin"/>
      </w:r>
      <w:r>
        <w:rPr>
          <w:rStyle w:val="LinkdaInternet"/>
          <w:sz w:val="20"/>
          <w:szCs w:val="20"/>
        </w:rPr>
        <w:instrText> HYPERLINK "http://www.planalto.gov.br/ccivil_03/_ato2019-2022/2021/lei/L14133.htm" \l "art92"</w:instrText>
      </w:r>
      <w:r>
        <w:rPr>
          <w:rStyle w:val="LinkdaInternet"/>
          <w:sz w:val="20"/>
          <w:szCs w:val="20"/>
        </w:rPr>
        <w:fldChar w:fldCharType="separate"/>
      </w:r>
      <w:r>
        <w:rPr>
          <w:rStyle w:val="LinkdaInternet"/>
          <w:sz w:val="20"/>
          <w:szCs w:val="20"/>
        </w:rPr>
        <w:t>art. 92, I e II</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O objeto do presente instrumento é a </w:t>
      </w:r>
      <w:r>
        <w:rPr>
          <w:rStyle w:val="Strong"/>
          <w:rFonts w:eastAsia="NSimSun" w:cs="Arial"/>
          <w:b/>
          <w:bCs/>
          <w:caps/>
          <w:color w:val="000000"/>
          <w:kern w:val="2"/>
          <w:sz w:val="20"/>
          <w:szCs w:val="20"/>
          <w:shd w:fill="FFFFFF" w:val="clear"/>
          <w:lang w:val="pt-BR" w:eastAsia="zh-CN" w:bidi="hi-IN"/>
        </w:rPr>
        <w:t>Contratação de empresa,  para Construção de Unidade de Saúde  no C.H. Dona Lina Leuzzi.</w:t>
      </w:r>
      <w:r>
        <w:rPr>
          <w:sz w:val="20"/>
          <w:szCs w:val="20"/>
        </w:rPr>
        <w:t>, nas condições estabelecidas no Termo de Referência.</w:t>
      </w:r>
    </w:p>
    <w:p>
      <w:pPr>
        <w:pStyle w:val="Nivel2"/>
        <w:numPr>
          <w:ilvl w:val="1"/>
          <w:numId w:val="1"/>
        </w:numPr>
        <w:spacing w:lineRule="auto" w:line="240" w:before="0" w:after="0"/>
        <w:rPr>
          <w:rFonts w:ascii="Arial" w:hAnsi="Arial"/>
          <w:sz w:val="20"/>
          <w:szCs w:val="20"/>
        </w:rPr>
      </w:pPr>
      <w:r>
        <w:rPr>
          <w:sz w:val="20"/>
          <w:szCs w:val="20"/>
        </w:rPr>
        <w:t>Objeto da contratação:</w:t>
      </w:r>
    </w:p>
    <w:p>
      <w:pPr>
        <w:pStyle w:val="Nivel2"/>
        <w:numPr>
          <w:ilvl w:val="1"/>
          <w:numId w:val="1"/>
        </w:numPr>
        <w:spacing w:lineRule="auto" w:line="240" w:before="0" w:after="0"/>
        <w:rPr>
          <w:rFonts w:ascii="Arial" w:hAnsi="Arial"/>
          <w:sz w:val="20"/>
          <w:szCs w:val="20"/>
        </w:rPr>
      </w:pPr>
      <w:r>
        <w:rPr>
          <w:sz w:val="20"/>
          <w:szCs w:val="20"/>
        </w:rPr>
        <w:t>Vinculam esta contratação, independentemente de transcrição:</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 Termo de Referência; planilha estimada, cronograma físico financeiro; memorial descritivo e projeto</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O Edital da Licitação;</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A Proposta do contratado;</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Eventuais anexos dos documentos supracitados.</w:t>
      </w:r>
    </w:p>
    <w:p>
      <w:pPr>
        <w:pStyle w:val="Nivel2"/>
        <w:numPr>
          <w:ilvl w:val="1"/>
          <w:numId w:val="1"/>
        </w:numPr>
        <w:spacing w:lineRule="auto" w:line="240" w:before="0" w:after="0"/>
        <w:rPr>
          <w:rFonts w:ascii="Arial" w:hAnsi="Arial"/>
          <w:sz w:val="20"/>
          <w:szCs w:val="20"/>
        </w:rPr>
      </w:pPr>
      <w:commentRangeStart w:id="26"/>
      <w:r>
        <w:rPr>
          <w:sz w:val="20"/>
          <w:szCs w:val="20"/>
        </w:rPr>
        <w:t xml:space="preserve">O regime de execução é o </w:t>
      </w:r>
      <w:r>
        <w:rPr>
          <w:color w:val="000000"/>
          <w:sz w:val="20"/>
          <w:szCs w:val="20"/>
        </w:rPr>
        <w:t>de empreitada por preço global, com fornecimento de materiais e prestação de serviço associado.</w:t>
      </w:r>
      <w:commentRangeEnd w:id="26"/>
      <w:r>
        <w:commentReference w:id="26"/>
      </w:r>
      <w:r>
        <w:rPr>
          <w:color w:val="000000"/>
          <w:sz w:val="20"/>
          <w:szCs w:val="20"/>
        </w:rPr>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rPr>
          <w:rFonts w:ascii="Arial" w:hAnsi="Arial"/>
          <w:color w:val="000000"/>
          <w:sz w:val="20"/>
          <w:szCs w:val="20"/>
        </w:rPr>
      </w:pPr>
      <w:r>
        <w:rPr>
          <w:color w:val="000000"/>
          <w:sz w:val="20"/>
          <w:szCs w:val="20"/>
        </w:rPr>
        <w:t>CLÁUSULA SEGUNDA – VIGÊNCIA E PRORROGAÇÃO</w:t>
      </w:r>
    </w:p>
    <w:p>
      <w:pPr>
        <w:pStyle w:val="Nvel2Red"/>
        <w:numPr>
          <w:ilvl w:val="1"/>
          <w:numId w:val="1"/>
        </w:numPr>
        <w:spacing w:lineRule="auto" w:line="240" w:before="0" w:after="0"/>
        <w:rPr>
          <w:rFonts w:ascii="Arial" w:hAnsi="Arial" w:cs="Arial"/>
          <w:b/>
          <w:b/>
          <w:bCs/>
          <w:color w:val="5B5B5F"/>
          <w:sz w:val="26"/>
          <w:szCs w:val="26"/>
        </w:rPr>
      </w:pPr>
      <w:r>
        <w:rPr>
          <w:color w:val="000000"/>
          <w:sz w:val="20"/>
          <w:szCs w:val="20"/>
        </w:rPr>
        <w:t xml:space="preserve">O prazo de vigência da contratação é de .............................. contados do(a) ............................., na forma </w:t>
      </w:r>
      <w:r>
        <w:fldChar w:fldCharType="begin"/>
      </w:r>
      <w:r>
        <w:rPr>
          <w:rStyle w:val="LinkdaInternet"/>
          <w:sz w:val="20"/>
          <w:szCs w:val="20"/>
          <w:color w:val="000000"/>
        </w:rPr>
        <w:instrText> HYPERLINK "http://www.planalto.gov.br/ccivil_03/_ato2019-2022/2021/lei/L14133.htm" \l "art105"</w:instrText>
      </w:r>
      <w:r>
        <w:rPr>
          <w:rStyle w:val="LinkdaInternet"/>
          <w:sz w:val="20"/>
          <w:szCs w:val="20"/>
          <w:color w:val="000000"/>
        </w:rPr>
        <w:fldChar w:fldCharType="separate"/>
      </w:r>
      <w:r>
        <w:rPr>
          <w:rStyle w:val="LinkdaInternet"/>
          <w:color w:val="000000"/>
          <w:sz w:val="20"/>
          <w:szCs w:val="20"/>
        </w:rPr>
        <w:t>do artigo 105 da Lei n° 14.133, de 2021</w:t>
      </w:r>
      <w:r>
        <w:rPr>
          <w:rStyle w:val="LinkdaInternet"/>
          <w:sz w:val="20"/>
          <w:szCs w:val="20"/>
          <w:color w:val="000000"/>
        </w:rPr>
        <w:fldChar w:fldCharType="end"/>
      </w:r>
      <w:r>
        <w:rPr>
          <w:color w:val="000000"/>
          <w:sz w:val="20"/>
          <w:szCs w:val="20"/>
        </w:rPr>
        <w:t>.</w:t>
      </w:r>
    </w:p>
    <w:p>
      <w:pPr>
        <w:pStyle w:val="Nvel2Red"/>
        <w:numPr>
          <w:ilvl w:val="0"/>
          <w:numId w:val="0"/>
        </w:numPr>
        <w:spacing w:lineRule="auto" w:line="240" w:before="0" w:after="0"/>
        <w:ind w:left="0" w:right="0" w:hanging="0"/>
        <w:rPr>
          <w:rFonts w:ascii="Arial" w:hAnsi="Arial"/>
          <w:color w:val="000000"/>
          <w:sz w:val="20"/>
          <w:szCs w:val="20"/>
        </w:rPr>
      </w:pPr>
      <w:r>
        <w:rPr>
          <w:color w:val="000000"/>
          <w:sz w:val="20"/>
          <w:szCs w:val="20"/>
        </w:rPr>
      </w:r>
    </w:p>
    <w:p>
      <w:pPr>
        <w:pStyle w:val="Nivel01"/>
        <w:numPr>
          <w:ilvl w:val="0"/>
          <w:numId w:val="1"/>
        </w:numPr>
        <w:spacing w:lineRule="auto" w:line="240" w:before="0" w:after="0"/>
        <w:rPr>
          <w:rFonts w:ascii="Arial" w:hAnsi="Arial" w:cs="Arial"/>
          <w:b/>
          <w:b/>
          <w:bCs/>
          <w:color w:val="5B5B5F"/>
          <w:sz w:val="26"/>
          <w:szCs w:val="26"/>
        </w:rPr>
      </w:pPr>
      <w:bookmarkStart w:id="51" w:name="_Hlk114497577"/>
      <w:bookmarkStart w:id="52" w:name="_Hlk114497502"/>
      <w:bookmarkEnd w:id="51"/>
      <w:bookmarkEnd w:id="52"/>
      <w:r>
        <w:rPr>
          <w:sz w:val="20"/>
          <w:szCs w:val="20"/>
        </w:rPr>
        <w:t>CLÁUSULA TERCEIRA – MODELOS DE EXECUÇÃO E GESTÃO CONTRATUAIS (</w:t>
      </w:r>
      <w:r>
        <w:fldChar w:fldCharType="begin"/>
      </w:r>
      <w:r>
        <w:rPr>
          <w:rStyle w:val="LinkdaInternet"/>
          <w:sz w:val="20"/>
          <w:szCs w:val="20"/>
        </w:rPr>
        <w:instrText> HYPERLINK "http://www.planalto.gov.br/ccivil_03/_ato2019-2022/2021/lei/L14133.htm" \l "art92"</w:instrText>
      </w:r>
      <w:r>
        <w:rPr>
          <w:rStyle w:val="LinkdaInternet"/>
          <w:sz w:val="20"/>
          <w:szCs w:val="20"/>
        </w:rPr>
        <w:fldChar w:fldCharType="separate"/>
      </w:r>
      <w:r>
        <w:rPr>
          <w:rStyle w:val="LinkdaInternet"/>
          <w:sz w:val="20"/>
          <w:szCs w:val="20"/>
        </w:rPr>
        <w:t>art. 92, IV, VII e XVIII)</w:t>
      </w:r>
      <w:r>
        <w:rPr>
          <w:rStyle w:val="LinkdaInternet"/>
          <w:sz w:val="20"/>
          <w:szCs w:val="20"/>
        </w:rPr>
        <w:fldChar w:fldCharType="end"/>
      </w:r>
    </w:p>
    <w:p>
      <w:pPr>
        <w:pStyle w:val="Nivel2"/>
        <w:numPr>
          <w:ilvl w:val="1"/>
          <w:numId w:val="1"/>
        </w:numPr>
        <w:spacing w:lineRule="auto" w:line="240" w:before="0" w:after="0"/>
        <w:rPr>
          <w:rFonts w:ascii="Arial" w:hAnsi="Arial"/>
          <w:sz w:val="20"/>
          <w:szCs w:val="20"/>
        </w:rPr>
      </w:pPr>
      <w:r>
        <w:rPr>
          <w:sz w:val="20"/>
          <w:szCs w:val="20"/>
        </w:rPr>
        <w:t>O regime de execução contratual, os modelos de gestão e de execução, assim como os prazos e condições de conclusão, entrega, observação e recebimento do objeto constam no Termo de Referência, anexo a este Contrato.</w:t>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rPr>
          <w:rFonts w:ascii="Arial" w:hAnsi="Arial"/>
          <w:sz w:val="20"/>
          <w:szCs w:val="20"/>
        </w:rPr>
      </w:pPr>
      <w:r>
        <w:rPr>
          <w:sz w:val="20"/>
          <w:szCs w:val="20"/>
        </w:rPr>
        <w:t>CLÁUSULA QUARTA – SUBCONTRATAÇÃO</w:t>
      </w:r>
    </w:p>
    <w:p>
      <w:pPr>
        <w:pStyle w:val="Nvel2Red"/>
        <w:numPr>
          <w:ilvl w:val="1"/>
          <w:numId w:val="1"/>
        </w:numPr>
        <w:spacing w:lineRule="auto" w:line="240" w:before="0" w:after="0"/>
        <w:rPr>
          <w:rFonts w:ascii="Arial" w:hAnsi="Arial"/>
          <w:color w:val="000000"/>
          <w:sz w:val="20"/>
          <w:szCs w:val="20"/>
        </w:rPr>
      </w:pPr>
      <w:r>
        <w:rPr>
          <w:color w:val="000000"/>
          <w:sz w:val="20"/>
          <w:szCs w:val="20"/>
        </w:rPr>
        <w:t>Não será admitida a subcontratação do objeto contratual.</w:t>
      </w:r>
    </w:p>
    <w:p>
      <w:pPr>
        <w:pStyle w:val="Nvel2Red"/>
        <w:numPr>
          <w:ilvl w:val="0"/>
          <w:numId w:val="0"/>
        </w:numPr>
        <w:spacing w:lineRule="auto" w:line="240" w:before="0" w:after="0"/>
        <w:ind w:left="0" w:right="0" w:hanging="0"/>
        <w:rPr>
          <w:rFonts w:ascii="Arial" w:hAnsi="Arial"/>
          <w:color w:val="000000"/>
          <w:sz w:val="20"/>
          <w:szCs w:val="20"/>
        </w:rPr>
      </w:pPr>
      <w:r>
        <w:rPr>
          <w:color w:val="000000"/>
          <w:sz w:val="20"/>
          <w:szCs w:val="20"/>
        </w:rPr>
      </w:r>
    </w:p>
    <w:p>
      <w:pPr>
        <w:pStyle w:val="Nivel01"/>
        <w:numPr>
          <w:ilvl w:val="0"/>
          <w:numId w:val="1"/>
        </w:numPr>
        <w:spacing w:lineRule="auto" w:line="240" w:before="0" w:after="0"/>
        <w:rPr>
          <w:rFonts w:ascii="Arial" w:hAnsi="Arial" w:cs="Arial"/>
          <w:b/>
          <w:b/>
          <w:bCs/>
          <w:color w:val="5B5B5F"/>
          <w:sz w:val="26"/>
          <w:szCs w:val="26"/>
        </w:rPr>
      </w:pPr>
      <w:r>
        <w:rPr>
          <w:sz w:val="20"/>
          <w:szCs w:val="20"/>
        </w:rPr>
        <w:t>CLÁUSULA QUINTA – PREÇO (</w:t>
      </w:r>
      <w:r>
        <w:fldChar w:fldCharType="begin"/>
      </w:r>
      <w:r>
        <w:rPr>
          <w:rStyle w:val="LinkdaInternet"/>
          <w:sz w:val="20"/>
          <w:szCs w:val="20"/>
        </w:rPr>
        <w:instrText> HYPERLINK "http://www.planalto.gov.br/ccivil_03/_ato2019-2022/2021/lei/L14133.htm" \l "art92"</w:instrText>
      </w:r>
      <w:r>
        <w:rPr>
          <w:rStyle w:val="LinkdaInternet"/>
          <w:sz w:val="20"/>
          <w:szCs w:val="20"/>
        </w:rPr>
        <w:fldChar w:fldCharType="separate"/>
      </w:r>
      <w:r>
        <w:rPr>
          <w:rStyle w:val="LinkdaInternet"/>
          <w:sz w:val="20"/>
          <w:szCs w:val="20"/>
        </w:rPr>
        <w:t>art. 92, V</w:t>
      </w:r>
      <w:r>
        <w:rPr>
          <w:rStyle w:val="LinkdaInternet"/>
          <w:sz w:val="20"/>
          <w:szCs w:val="20"/>
        </w:rPr>
        <w:fldChar w:fldCharType="end"/>
      </w:r>
      <w:r>
        <w:rPr>
          <w:sz w:val="20"/>
          <w:szCs w:val="20"/>
        </w:rPr>
        <w:t>)</w:t>
      </w:r>
      <w:r>
        <w:rPr/>
        <w:commentReference w:id="27"/>
      </w:r>
    </w:p>
    <w:p>
      <w:pPr>
        <w:pStyle w:val="Nvel2Red"/>
        <w:numPr>
          <w:ilvl w:val="1"/>
          <w:numId w:val="1"/>
        </w:numPr>
        <w:spacing w:lineRule="auto" w:line="240" w:before="0" w:after="0"/>
        <w:rPr>
          <w:rFonts w:ascii="Arial" w:hAnsi="Arial"/>
          <w:sz w:val="20"/>
          <w:szCs w:val="20"/>
        </w:rPr>
      </w:pPr>
      <w:commentRangeStart w:id="28"/>
      <w:r>
        <w:rPr>
          <w:color w:val="000000"/>
          <w:sz w:val="20"/>
          <w:szCs w:val="20"/>
        </w:rPr>
        <w:t>O valor total da contratação é de R$.......... (.....)</w:t>
      </w:r>
      <w:commentRangeEnd w:id="28"/>
      <w:r>
        <w:commentReference w:id="28"/>
      </w:r>
      <w:r>
        <w:rPr>
          <w:color w:val="000000"/>
          <w:sz w:val="20"/>
          <w:szCs w:val="20"/>
        </w:rPr>
      </w:r>
    </w:p>
    <w:p>
      <w:pPr>
        <w:pStyle w:val="Nivel2"/>
        <w:numPr>
          <w:ilvl w:val="1"/>
          <w:numId w:val="1"/>
        </w:numPr>
        <w:spacing w:lineRule="auto" w:line="240" w:before="0" w:after="0"/>
        <w:rPr>
          <w:rFonts w:ascii="Arial" w:hAnsi="Arial"/>
          <w:sz w:val="20"/>
          <w:szCs w:val="20"/>
        </w:rPr>
      </w:pPr>
      <w:r>
        <w:rPr>
          <w:sz w:val="20"/>
          <w:szCs w:val="20"/>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rPr>
          <w:rFonts w:ascii="Arial" w:hAnsi="Arial" w:cs="Arial"/>
          <w:b/>
          <w:b/>
          <w:bCs/>
          <w:color w:val="5B5B5F"/>
          <w:sz w:val="26"/>
          <w:szCs w:val="26"/>
        </w:rPr>
      </w:pPr>
      <w:r>
        <w:rPr>
          <w:sz w:val="20"/>
          <w:szCs w:val="20"/>
        </w:rPr>
        <w:t>CLÁUSULA SEXTA - PAGAMENTO (</w:t>
      </w:r>
      <w:r>
        <w:fldChar w:fldCharType="begin"/>
      </w:r>
      <w:r>
        <w:rPr>
          <w:rStyle w:val="LinkdaInternet"/>
          <w:sz w:val="20"/>
          <w:szCs w:val="20"/>
        </w:rPr>
        <w:instrText> HYPERLINK "http://www.planalto.gov.br/ccivil_03/_ato2019-2022/2021/lei/L14133.htm" \l "art92"</w:instrText>
      </w:r>
      <w:r>
        <w:rPr>
          <w:rStyle w:val="LinkdaInternet"/>
          <w:sz w:val="20"/>
          <w:szCs w:val="20"/>
        </w:rPr>
        <w:fldChar w:fldCharType="separate"/>
      </w:r>
      <w:r>
        <w:rPr>
          <w:rStyle w:val="LinkdaInternet"/>
          <w:sz w:val="20"/>
          <w:szCs w:val="20"/>
        </w:rPr>
        <w:t>art. 92, V e VI</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sz w:val="20"/>
          <w:szCs w:val="20"/>
        </w:rPr>
      </w:pPr>
      <w:r>
        <w:rPr>
          <w:sz w:val="20"/>
          <w:szCs w:val="20"/>
        </w:rPr>
        <w:t xml:space="preserve">O prazo para pagamento </w:t>
      </w:r>
      <w:r>
        <w:rPr>
          <w:color w:val="auto"/>
          <w:sz w:val="20"/>
          <w:szCs w:val="20"/>
          <w:lang w:eastAsia="en-US"/>
        </w:rPr>
        <w:t>ao contratado</w:t>
      </w:r>
      <w:r>
        <w:rPr>
          <w:sz w:val="20"/>
          <w:szCs w:val="20"/>
        </w:rPr>
        <w:t xml:space="preserve"> e demais condições a ele referentes encontram-se definidos no Termo de Referência, anexo a este Contrato.</w:t>
      </w:r>
    </w:p>
    <w:p>
      <w:pPr>
        <w:pStyle w:val="Nivel2"/>
        <w:numPr>
          <w:ilvl w:val="1"/>
          <w:numId w:val="1"/>
        </w:numPr>
        <w:spacing w:lineRule="auto" w:line="240" w:before="0" w:after="0"/>
        <w:rPr>
          <w:rFonts w:ascii="Arial" w:hAnsi="Arial"/>
          <w:b/>
          <w:b/>
          <w:bCs/>
          <w:color w:val="000000"/>
          <w:sz w:val="20"/>
          <w:szCs w:val="20"/>
        </w:rPr>
      </w:pPr>
      <w:r>
        <w:rPr>
          <w:b/>
          <w:bCs/>
          <w:color w:val="000000"/>
          <w:sz w:val="20"/>
          <w:szCs w:val="20"/>
        </w:rPr>
        <w:t xml:space="preserve">Os pagamentos será de acordo com liberação do convênio. </w:t>
      </w:r>
    </w:p>
    <w:p>
      <w:pPr>
        <w:pStyle w:val="Nivel2"/>
        <w:numPr>
          <w:ilvl w:val="0"/>
          <w:numId w:val="0"/>
        </w:numPr>
        <w:spacing w:lineRule="auto" w:line="240" w:before="0" w:after="0"/>
        <w:ind w:left="0" w:right="0" w:hanging="0"/>
        <w:rPr>
          <w:rFonts w:ascii="Arial" w:hAnsi="Arial"/>
          <w:b/>
          <w:b/>
          <w:bCs/>
          <w:color w:val="000000"/>
          <w:sz w:val="20"/>
          <w:szCs w:val="20"/>
        </w:rPr>
      </w:pPr>
      <w:r>
        <w:rPr>
          <w:b/>
          <w:bCs/>
          <w:color w:val="000000"/>
          <w:sz w:val="20"/>
          <w:szCs w:val="20"/>
        </w:rPr>
      </w:r>
    </w:p>
    <w:p>
      <w:pPr>
        <w:pStyle w:val="Nivel01"/>
        <w:numPr>
          <w:ilvl w:val="0"/>
          <w:numId w:val="1"/>
        </w:numPr>
        <w:spacing w:lineRule="auto" w:line="240" w:before="0" w:after="0"/>
        <w:rPr>
          <w:rFonts w:ascii="Arial" w:hAnsi="Arial" w:cs="Arial"/>
          <w:b/>
          <w:b/>
          <w:bCs/>
          <w:color w:val="5B5B5F"/>
          <w:sz w:val="26"/>
          <w:szCs w:val="26"/>
        </w:rPr>
      </w:pPr>
      <w:commentRangeStart w:id="29"/>
      <w:r>
        <w:rPr>
          <w:sz w:val="20"/>
          <w:szCs w:val="20"/>
        </w:rPr>
        <w:t>CLÁUSULA SÉTIMA - REAJUSTE (</w:t>
      </w:r>
      <w:r>
        <w:fldChar w:fldCharType="begin"/>
      </w:r>
      <w:r>
        <w:rPr>
          <w:rStyle w:val="LinkdaInternet"/>
          <w:sz w:val="20"/>
          <w:szCs w:val="20"/>
        </w:rPr>
        <w:instrText> HYPERLINK "http://www.planalto.gov.br/ccivil_03/_ato2019-2022/2021/lei/L14133.htm" \l "art92"</w:instrText>
      </w:r>
      <w:r>
        <w:rPr>
          <w:rStyle w:val="LinkdaInternet"/>
          <w:sz w:val="20"/>
          <w:szCs w:val="20"/>
        </w:rPr>
        <w:fldChar w:fldCharType="separate"/>
      </w:r>
      <w:r>
        <w:rPr>
          <w:rStyle w:val="LinkdaInternet"/>
          <w:sz w:val="20"/>
          <w:szCs w:val="20"/>
        </w:rPr>
        <w:t>art. 92, V</w:t>
      </w:r>
      <w:r>
        <w:rPr>
          <w:rStyle w:val="LinkdaInternet"/>
          <w:sz w:val="20"/>
          <w:szCs w:val="20"/>
        </w:rPr>
        <w:fldChar w:fldCharType="end"/>
      </w:r>
      <w:r>
        <w:rPr>
          <w:sz w:val="20"/>
          <w:szCs w:val="20"/>
        </w:rPr>
        <w:t>)</w:t>
      </w:r>
      <w:commentRangeEnd w:id="29"/>
      <w:r>
        <w:commentReference w:id="29"/>
      </w:r>
      <w:r>
        <w:rPr>
          <w:sz w:val="20"/>
          <w:szCs w:val="20"/>
        </w:rPr>
      </w:r>
    </w:p>
    <w:p>
      <w:pPr>
        <w:pStyle w:val="Nivel2"/>
        <w:numPr>
          <w:ilvl w:val="1"/>
          <w:numId w:val="1"/>
        </w:numPr>
        <w:spacing w:lineRule="auto" w:line="240" w:before="0" w:after="0"/>
        <w:rPr>
          <w:rFonts w:ascii="Arial" w:hAnsi="Arial"/>
          <w:sz w:val="20"/>
          <w:szCs w:val="20"/>
        </w:rPr>
      </w:pPr>
      <w:r>
        <w:rPr>
          <w:sz w:val="20"/>
          <w:szCs w:val="20"/>
        </w:rPr>
        <w:t>Os preços inicialmente contratados são fixos e irreajustáveis no prazo de um ano contado da data do orçamento estimado.</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 xml:space="preserve">O orçamento estimado pela Administração baseou-se nas planilhas referenciais </w:t>
      </w:r>
      <w:r>
        <w:rPr>
          <w:color w:val="000000"/>
          <w:sz w:val="20"/>
          <w:szCs w:val="20"/>
        </w:rPr>
        <w:t>elaboradas com base no sinapi 08/2023 e CDHU 197 – 08/2023 – com desoneração.</w:t>
      </w:r>
    </w:p>
    <w:p>
      <w:pPr>
        <w:pStyle w:val="Nivel2"/>
        <w:numPr>
          <w:ilvl w:val="1"/>
          <w:numId w:val="1"/>
        </w:numPr>
        <w:spacing w:lineRule="auto" w:line="240" w:before="0" w:after="0"/>
        <w:rPr>
          <w:rFonts w:ascii="Arial" w:hAnsi="Arial"/>
          <w:sz w:val="20"/>
          <w:szCs w:val="20"/>
        </w:rPr>
      </w:pPr>
      <w:commentRangeStart w:id="30"/>
      <w:r>
        <w:rPr>
          <w:sz w:val="20"/>
          <w:szCs w:val="20"/>
        </w:rPr>
        <w:t>Após o interregno de um ano, os preços iniciais poderão reajustados, mediante a aplicação, pelo contratante, do índice IPCA</w:t>
      </w:r>
      <w:r>
        <w:rPr>
          <w:i/>
          <w:iCs/>
          <w:sz w:val="20"/>
          <w:szCs w:val="20"/>
        </w:rPr>
        <w:t>,</w:t>
      </w:r>
      <w:r>
        <w:rPr>
          <w:sz w:val="20"/>
          <w:szCs w:val="20"/>
        </w:rPr>
        <w:t xml:space="preserve"> exclusivamente para as obrigações iniciadas e concluídas após a ocorrência da anualidade</w:t>
      </w:r>
      <w:r>
        <w:rPr>
          <w:sz w:val="20"/>
          <w:szCs w:val="20"/>
        </w:rPr>
      </w:r>
      <w:commentRangeEnd w:id="30"/>
      <w:r>
        <w:commentReference w:id="30"/>
      </w:r>
      <w:r>
        <w:rPr>
          <w:sz w:val="20"/>
          <w:szCs w:val="20"/>
        </w:rPr>
        <w:t>.</w:t>
      </w:r>
    </w:p>
    <w:p>
      <w:pPr>
        <w:pStyle w:val="Nivel2"/>
        <w:numPr>
          <w:ilvl w:val="1"/>
          <w:numId w:val="1"/>
        </w:numPr>
        <w:spacing w:lineRule="auto" w:line="240" w:before="0" w:after="0"/>
        <w:rPr>
          <w:rFonts w:ascii="Arial" w:hAnsi="Arial"/>
          <w:sz w:val="20"/>
          <w:szCs w:val="20"/>
        </w:rPr>
      </w:pPr>
      <w:r>
        <w:rPr>
          <w:sz w:val="20"/>
          <w:szCs w:val="20"/>
        </w:rPr>
        <w:t>Nos reajustes subsequentes ao primeiro, o interregno mínimo de um ano será contado a partir dos efeitos financeiros do último reajuste.</w:t>
      </w:r>
    </w:p>
    <w:p>
      <w:pPr>
        <w:pStyle w:val="Nivel2"/>
        <w:numPr>
          <w:ilvl w:val="1"/>
          <w:numId w:val="1"/>
        </w:numPr>
        <w:spacing w:lineRule="auto" w:line="240" w:before="0" w:after="0"/>
        <w:rPr>
          <w:rFonts w:ascii="Arial" w:hAnsi="Arial"/>
          <w:sz w:val="20"/>
          <w:szCs w:val="20"/>
        </w:rPr>
      </w:pPr>
      <w:r>
        <w:rPr>
          <w:sz w:val="20"/>
          <w:szCs w:val="20"/>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pPr>
        <w:pStyle w:val="Nvel3R"/>
        <w:widowControl/>
        <w:numPr>
          <w:ilvl w:val="2"/>
          <w:numId w:val="1"/>
        </w:numPr>
        <w:suppressAutoHyphens w:val="true"/>
        <w:overflowPunct w:val="true"/>
        <w:bidi w:val="0"/>
        <w:spacing w:lineRule="auto" w:line="240" w:before="0" w:after="0"/>
        <w:ind w:left="0" w:right="0" w:firstLine="567"/>
        <w:jc w:val="both"/>
        <w:rPr>
          <w:rFonts w:ascii="Arial" w:hAnsi="Arial"/>
          <w:color w:val="000000"/>
          <w:sz w:val="20"/>
          <w:szCs w:val="20"/>
        </w:rPr>
      </w:pPr>
      <w:r>
        <w:rPr>
          <w:color w:val="000000"/>
          <w:sz w:val="20"/>
          <w:szCs w:val="20"/>
        </w:rPr>
        <w:t>Fica o Contratado obrigado a apresentar memória de cálculo referente ao reajustamento de preços do valor remanescente, sempre que este ocorrer.</w:t>
      </w:r>
    </w:p>
    <w:p>
      <w:pPr>
        <w:pStyle w:val="Nivel2"/>
        <w:numPr>
          <w:ilvl w:val="1"/>
          <w:numId w:val="1"/>
        </w:numPr>
        <w:spacing w:lineRule="auto" w:line="240" w:before="0" w:after="0"/>
        <w:rPr>
          <w:rFonts w:ascii="Arial" w:hAnsi="Arial"/>
          <w:sz w:val="20"/>
          <w:szCs w:val="20"/>
        </w:rPr>
      </w:pPr>
      <w:r>
        <w:rPr>
          <w:sz w:val="20"/>
          <w:szCs w:val="20"/>
        </w:rPr>
        <w:t>Nas aferições finais, o(s) índice(s) utilizado(s) para reajuste será(ão), obrigatoriamente, o(s) definitivo(s).</w:t>
      </w:r>
    </w:p>
    <w:p>
      <w:pPr>
        <w:pStyle w:val="Nivel2"/>
        <w:numPr>
          <w:ilvl w:val="1"/>
          <w:numId w:val="1"/>
        </w:numPr>
        <w:spacing w:lineRule="auto" w:line="240" w:before="0" w:after="0"/>
        <w:rPr>
          <w:rFonts w:ascii="Arial" w:hAnsi="Arial"/>
          <w:sz w:val="20"/>
          <w:szCs w:val="20"/>
        </w:rPr>
      </w:pPr>
      <w:r>
        <w:rPr>
          <w:sz w:val="20"/>
          <w:szCs w:val="20"/>
        </w:rPr>
        <w:t>Caso o(s) índice(s) estabelecido(s) para reajustamento venha(m) a ser extinto(s) ou de qualquer forma não possa(m) mais ser utilizado(s), será(ão) adotado(s), em substituição, o(s) que vier(em) a ser determinado(s) pela legislação então em vigor.</w:t>
      </w:r>
    </w:p>
    <w:p>
      <w:pPr>
        <w:pStyle w:val="Nivel2"/>
        <w:numPr>
          <w:ilvl w:val="1"/>
          <w:numId w:val="1"/>
        </w:numPr>
        <w:spacing w:lineRule="auto" w:line="240" w:before="0" w:after="0"/>
        <w:rPr>
          <w:rFonts w:ascii="Arial" w:hAnsi="Arial"/>
          <w:sz w:val="20"/>
          <w:szCs w:val="20"/>
        </w:rPr>
      </w:pPr>
      <w:r>
        <w:rPr>
          <w:sz w:val="20"/>
          <w:szCs w:val="20"/>
        </w:rPr>
        <w:t xml:space="preserve">Na ausência de previsão legal quanto ao índice substituto, as partes elegerão novo índice oficial, para reajustamento do preço do valor remanescente, por meio de termo aditivo. </w:t>
      </w:r>
    </w:p>
    <w:p>
      <w:pPr>
        <w:pStyle w:val="Nivel2"/>
        <w:numPr>
          <w:ilvl w:val="1"/>
          <w:numId w:val="1"/>
        </w:numPr>
        <w:spacing w:lineRule="auto" w:line="240" w:before="0" w:after="0"/>
        <w:rPr>
          <w:rFonts w:ascii="Arial" w:hAnsi="Arial"/>
          <w:sz w:val="20"/>
          <w:szCs w:val="20"/>
        </w:rPr>
      </w:pPr>
      <w:r>
        <w:rPr>
          <w:sz w:val="20"/>
          <w:szCs w:val="20"/>
        </w:rPr>
        <w:t>O reajuste será realizado por apostilamento</w:t>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rPr>
          <w:rFonts w:ascii="Arial" w:hAnsi="Arial" w:cs="Arial"/>
          <w:b/>
          <w:b/>
          <w:bCs/>
          <w:color w:val="5B5B5F"/>
          <w:sz w:val="26"/>
          <w:szCs w:val="26"/>
        </w:rPr>
      </w:pPr>
      <w:r>
        <w:rPr>
          <w:sz w:val="20"/>
          <w:szCs w:val="20"/>
        </w:rPr>
        <w:t xml:space="preserve">CLÁUSULA OITAVA - OBRIGAÇÕES DO CONTRATANTE </w:t>
      </w:r>
      <w:r>
        <w:fldChar w:fldCharType="begin"/>
      </w:r>
      <w:r>
        <w:rPr>
          <w:rStyle w:val="LinkdaInternet"/>
          <w:sz w:val="20"/>
          <w:szCs w:val="20"/>
        </w:rPr>
        <w:instrText> HYPERLINK "http://www.planalto.gov.br/ccivil_03/_ato2019-2022/2021/lei/L14133.htm" \l "art92"</w:instrText>
      </w:r>
      <w:r>
        <w:rPr>
          <w:rStyle w:val="LinkdaInternet"/>
          <w:sz w:val="20"/>
          <w:szCs w:val="20"/>
        </w:rPr>
        <w:fldChar w:fldCharType="separate"/>
      </w:r>
      <w:r>
        <w:rPr>
          <w:rStyle w:val="LinkdaInternet"/>
          <w:sz w:val="20"/>
          <w:szCs w:val="20"/>
        </w:rPr>
        <w:t>(art. 92, X, XI e XIV</w:t>
      </w:r>
      <w:r>
        <w:rPr>
          <w:rStyle w:val="LinkdaInternet"/>
          <w:sz w:val="20"/>
          <w:szCs w:val="20"/>
        </w:rPr>
        <w:fldChar w:fldCharType="end"/>
      </w:r>
      <w:r>
        <w:rPr>
          <w:sz w:val="20"/>
          <w:szCs w:val="20"/>
        </w:rPr>
        <w:t>)</w:t>
      </w:r>
      <w:r>
        <w:rPr/>
        <w:commentReference w:id="31"/>
      </w:r>
    </w:p>
    <w:p>
      <w:pPr>
        <w:pStyle w:val="Nivel2"/>
        <w:numPr>
          <w:ilvl w:val="1"/>
          <w:numId w:val="1"/>
        </w:numPr>
        <w:spacing w:lineRule="auto" w:line="240" w:before="0" w:after="0"/>
        <w:rPr>
          <w:rFonts w:ascii="Arial" w:hAnsi="Arial"/>
          <w:sz w:val="20"/>
          <w:szCs w:val="20"/>
        </w:rPr>
      </w:pPr>
      <w:r>
        <w:rPr>
          <w:sz w:val="20"/>
          <w:szCs w:val="20"/>
        </w:rPr>
        <w:t>São obrigações do Contratante:</w:t>
      </w:r>
    </w:p>
    <w:p>
      <w:pPr>
        <w:pStyle w:val="Nivel2"/>
        <w:numPr>
          <w:ilvl w:val="1"/>
          <w:numId w:val="1"/>
        </w:numPr>
        <w:spacing w:lineRule="auto" w:line="240" w:before="0" w:after="0"/>
        <w:rPr>
          <w:rFonts w:ascii="Arial" w:hAnsi="Arial"/>
          <w:sz w:val="20"/>
          <w:szCs w:val="20"/>
        </w:rPr>
      </w:pPr>
      <w:r>
        <w:rPr>
          <w:sz w:val="20"/>
          <w:szCs w:val="20"/>
        </w:rPr>
        <w:t>Exigir o cumprimento de todas as obrigações assumidas pelo Contratado, de acordo com o contrato e seus anexos;</w:t>
      </w:r>
    </w:p>
    <w:p>
      <w:pPr>
        <w:pStyle w:val="Nivel2"/>
        <w:numPr>
          <w:ilvl w:val="1"/>
          <w:numId w:val="1"/>
        </w:numPr>
        <w:spacing w:lineRule="auto" w:line="240" w:before="0" w:after="0"/>
        <w:rPr>
          <w:rFonts w:ascii="Arial" w:hAnsi="Arial"/>
          <w:sz w:val="20"/>
          <w:szCs w:val="20"/>
        </w:rPr>
      </w:pPr>
      <w:r>
        <w:rPr>
          <w:sz w:val="20"/>
          <w:szCs w:val="20"/>
        </w:rPr>
        <w:t>Receber o objeto no prazo e condições estabelecidas no Termo de Referência;</w:t>
      </w:r>
    </w:p>
    <w:p>
      <w:pPr>
        <w:pStyle w:val="Nivel2"/>
        <w:numPr>
          <w:ilvl w:val="1"/>
          <w:numId w:val="1"/>
        </w:numPr>
        <w:spacing w:lineRule="auto" w:line="240" w:before="0" w:after="0"/>
        <w:rPr>
          <w:rFonts w:ascii="Arial" w:hAnsi="Arial"/>
          <w:sz w:val="20"/>
          <w:szCs w:val="20"/>
        </w:rPr>
      </w:pPr>
      <w:r>
        <w:rPr>
          <w:sz w:val="20"/>
          <w:szCs w:val="20"/>
        </w:rPr>
        <w:t>Notificar o Contratado por escrito da ocorrência de eventuais imperfeições, falhas ou irregularidades constatadas no curso da execução dos serviços, fixando prazo para a sua correção, certificando-se de que as soluções por ele propostas sejam as mais adequadas.</w:t>
      </w:r>
    </w:p>
    <w:p>
      <w:pPr>
        <w:pStyle w:val="Nivel2"/>
        <w:numPr>
          <w:ilvl w:val="1"/>
          <w:numId w:val="1"/>
        </w:numPr>
        <w:spacing w:lineRule="auto" w:line="240" w:before="0" w:after="0"/>
        <w:rPr>
          <w:rFonts w:ascii="Arial" w:hAnsi="Arial"/>
          <w:sz w:val="20"/>
          <w:szCs w:val="20"/>
        </w:rPr>
      </w:pPr>
      <w:r>
        <w:rPr>
          <w:sz w:val="20"/>
          <w:szCs w:val="20"/>
        </w:rPr>
        <w:t>Notificar o Contratado, por escrito, sobre vícios, defeitos ou incorreções verificadas no objeto fornecido, para que seja por ele substituído, reparado ou corrigido, no total ou em parte, às suas expensas;</w:t>
      </w:r>
    </w:p>
    <w:p>
      <w:pPr>
        <w:pStyle w:val="Nivel2"/>
        <w:numPr>
          <w:ilvl w:val="1"/>
          <w:numId w:val="1"/>
        </w:numPr>
        <w:spacing w:lineRule="auto" w:line="240" w:before="0" w:after="0"/>
        <w:rPr>
          <w:rFonts w:ascii="Arial" w:hAnsi="Arial"/>
          <w:sz w:val="20"/>
          <w:szCs w:val="20"/>
        </w:rPr>
      </w:pPr>
      <w:r>
        <w:rPr>
          <w:sz w:val="20"/>
          <w:szCs w:val="20"/>
        </w:rPr>
        <w:t>Acompanhar e fiscalizar a execução do contrato e o cumprimento das obrigações pelo Contratado;</w:t>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Comunicar a empresa para emissão de Nota Fiscal no que se refere à parcela incontroversa da execução do objeto, para efeito de liquidação e pagamento, quando houver controvérsia sobre a execução do objeto, quanto à dimensão, qualidade e quantidade, conforme o </w:t>
      </w:r>
      <w:hyperlink r:id="rId25">
        <w:r>
          <w:rPr>
            <w:rStyle w:val="LinkdaInternet"/>
            <w:sz w:val="20"/>
            <w:szCs w:val="20"/>
          </w:rPr>
          <w:t>art. 143 da Lei nº 14.133, de 2021</w:t>
        </w:r>
      </w:hyperlink>
      <w:r>
        <w:rPr>
          <w:sz w:val="20"/>
          <w:szCs w:val="20"/>
        </w:rPr>
        <w:t>;</w:t>
      </w:r>
    </w:p>
    <w:p>
      <w:pPr>
        <w:pStyle w:val="Nivel2"/>
        <w:numPr>
          <w:ilvl w:val="1"/>
          <w:numId w:val="1"/>
        </w:numPr>
        <w:spacing w:lineRule="auto" w:line="240" w:before="0" w:after="0"/>
        <w:rPr>
          <w:rFonts w:ascii="Arial" w:hAnsi="Arial"/>
          <w:sz w:val="20"/>
          <w:szCs w:val="20"/>
        </w:rPr>
      </w:pPr>
      <w:r>
        <w:rPr>
          <w:sz w:val="20"/>
          <w:szCs w:val="20"/>
        </w:rPr>
        <w:t>Efetuar o pagamento ao Contratado do valor correspondente à execução do objeto, no prazo, forma e condições estabelecidos no presente Contrato e no Termo de Referência;</w:t>
      </w:r>
    </w:p>
    <w:p>
      <w:pPr>
        <w:pStyle w:val="Nivel2"/>
        <w:numPr>
          <w:ilvl w:val="1"/>
          <w:numId w:val="1"/>
        </w:numPr>
        <w:spacing w:lineRule="auto" w:line="240" w:before="0" w:after="0"/>
        <w:rPr>
          <w:rFonts w:ascii="Arial" w:hAnsi="Arial"/>
          <w:sz w:val="20"/>
          <w:szCs w:val="20"/>
        </w:rPr>
      </w:pPr>
      <w:r>
        <w:rPr>
          <w:sz w:val="20"/>
          <w:szCs w:val="20"/>
        </w:rPr>
        <w:t xml:space="preserve">Aplicar ao Contratado as sanções previstas na lei e neste Contrato; </w:t>
      </w:r>
    </w:p>
    <w:p>
      <w:pPr>
        <w:pStyle w:val="Nivel2"/>
        <w:numPr>
          <w:ilvl w:val="1"/>
          <w:numId w:val="1"/>
        </w:numPr>
        <w:spacing w:lineRule="auto" w:line="240" w:before="0" w:after="0"/>
        <w:rPr>
          <w:rFonts w:ascii="Arial" w:hAnsi="Arial"/>
          <w:sz w:val="20"/>
          <w:szCs w:val="20"/>
        </w:rPr>
      </w:pPr>
      <w:r>
        <w:rPr>
          <w:sz w:val="20"/>
          <w:szCs w:val="20"/>
        </w:rPr>
        <w:t>Cientificar o órgão de representação judicial da Advocacia-Geral da União para adoção das medidas cabíveis quando do descumprimento de obrigações pelo Contratado;</w:t>
      </w:r>
    </w:p>
    <w:p>
      <w:pPr>
        <w:pStyle w:val="Nivel2"/>
        <w:numPr>
          <w:ilvl w:val="1"/>
          <w:numId w:val="1"/>
        </w:numPr>
        <w:spacing w:lineRule="auto" w:line="240" w:before="0" w:after="0"/>
        <w:rPr>
          <w:rFonts w:ascii="Arial" w:hAnsi="Arial"/>
          <w:sz w:val="20"/>
          <w:szCs w:val="20"/>
        </w:rPr>
      </w:pPr>
      <w:r>
        <w:rPr>
          <w:sz w:val="20"/>
          <w:szCs w:val="20"/>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sz w:val="20"/>
          <w:szCs w:val="20"/>
        </w:rPr>
      </w:pPr>
      <w:r>
        <w:rPr>
          <w:color w:val="000000"/>
          <w:sz w:val="20"/>
          <w:szCs w:val="20"/>
        </w:rPr>
        <w:t xml:space="preserve"> </w:t>
      </w:r>
      <w:commentRangeStart w:id="32"/>
      <w:r>
        <w:rPr>
          <w:color w:val="000000"/>
          <w:sz w:val="20"/>
          <w:szCs w:val="20"/>
        </w:rPr>
        <w:t>A Administração terá o prazo de</w:t>
      </w:r>
      <w:r>
        <w:rPr>
          <w:i/>
          <w:iCs/>
          <w:color w:val="000000"/>
          <w:sz w:val="20"/>
          <w:szCs w:val="20"/>
        </w:rPr>
        <w:t xml:space="preserve"> 5 (icnco) dias </w:t>
      </w:r>
      <w:r>
        <w:rPr>
          <w:color w:val="000000"/>
          <w:sz w:val="20"/>
          <w:szCs w:val="20"/>
        </w:rPr>
        <w:t xml:space="preserve">, a contar da data do protocolo do requerimento para decidir, admitida a prorrogação motivada, por igual período. </w:t>
      </w:r>
      <w:commentRangeEnd w:id="32"/>
      <w:r>
        <w:commentReference w:id="32"/>
      </w:r>
      <w:r>
        <w:rPr>
          <w:color w:val="000000"/>
          <w:sz w:val="20"/>
          <w:szCs w:val="20"/>
        </w:rPr>
      </w:r>
    </w:p>
    <w:p>
      <w:pPr>
        <w:pStyle w:val="Nivel2"/>
        <w:numPr>
          <w:ilvl w:val="1"/>
          <w:numId w:val="1"/>
        </w:numPr>
        <w:spacing w:lineRule="auto" w:line="240" w:before="0" w:after="0"/>
        <w:rPr>
          <w:rFonts w:ascii="Arial" w:hAnsi="Arial"/>
          <w:color w:val="000000"/>
          <w:sz w:val="20"/>
          <w:szCs w:val="20"/>
        </w:rPr>
      </w:pPr>
      <w:r>
        <w:rPr>
          <w:color w:val="000000"/>
          <w:sz w:val="20"/>
          <w:szCs w:val="20"/>
        </w:rPr>
        <w:t xml:space="preserve">Responder eventuais pedidos de reestabelecimento do equilíbrio econômico-financeiro feitos pelo contratado no prazo máximo de 5 (cinco) dias </w:t>
      </w:r>
    </w:p>
    <w:p>
      <w:pPr>
        <w:pStyle w:val="Nvel2Red"/>
        <w:numPr>
          <w:ilvl w:val="1"/>
          <w:numId w:val="1"/>
        </w:numPr>
        <w:spacing w:lineRule="auto" w:line="240" w:before="0" w:after="0"/>
        <w:rPr>
          <w:rFonts w:ascii="Arial" w:hAnsi="Arial"/>
          <w:sz w:val="20"/>
          <w:szCs w:val="20"/>
        </w:rPr>
      </w:pPr>
      <w:commentRangeStart w:id="33"/>
      <w:r>
        <w:rPr>
          <w:color w:val="000000"/>
          <w:sz w:val="20"/>
          <w:szCs w:val="20"/>
        </w:rPr>
        <w:t>Notificar os emitentes das garantias quanto ao início de processo administrativo para apuração de descumprimento de cláusulas contratuais.</w:t>
      </w:r>
      <w:commentRangeEnd w:id="33"/>
      <w:r>
        <w:commentReference w:id="33"/>
      </w:r>
      <w:r>
        <w:rPr>
          <w:color w:val="000000"/>
          <w:sz w:val="20"/>
          <w:szCs w:val="20"/>
        </w:rPr>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Comunicar o Contratado na hipótese de posterior alteração do projeto pelo Contratante, no caso </w:t>
      </w:r>
      <w:r>
        <w:fldChar w:fldCharType="begin"/>
      </w:r>
      <w:r>
        <w:rPr>
          <w:rStyle w:val="LinkdaInternet"/>
          <w:sz w:val="20"/>
          <w:szCs w:val="20"/>
        </w:rPr>
        <w:instrText> HYPERLINK "http://www.planalto.gov.br/ccivil_03/_ato2019-2022/2021/lei/L14133.htm" \l "art93§2"</w:instrText>
      </w:r>
      <w:r>
        <w:rPr>
          <w:rStyle w:val="LinkdaInternet"/>
          <w:sz w:val="20"/>
          <w:szCs w:val="20"/>
        </w:rPr>
        <w:fldChar w:fldCharType="separate"/>
      </w:r>
      <w:r>
        <w:rPr>
          <w:rStyle w:val="LinkdaInternet"/>
          <w:sz w:val="20"/>
          <w:szCs w:val="20"/>
        </w:rPr>
        <w:t>do art. 93, §2º, da Lei nº 14.133, de 2021</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sz w:val="20"/>
          <w:szCs w:val="20"/>
        </w:rPr>
      </w:pPr>
      <w:r>
        <w:rPr>
          <w:sz w:val="20"/>
          <w:szCs w:val="20"/>
        </w:rPr>
        <w:t>Fornecer por escrito as informações necessárias para o desenvolvimento dos serviços objeto do contrato.</w:t>
      </w:r>
    </w:p>
    <w:p>
      <w:pPr>
        <w:pStyle w:val="Nivel2"/>
        <w:numPr>
          <w:ilvl w:val="1"/>
          <w:numId w:val="1"/>
        </w:numPr>
        <w:spacing w:lineRule="auto" w:line="240" w:before="0" w:after="0"/>
        <w:rPr>
          <w:rFonts w:ascii="Arial" w:hAnsi="Arial"/>
          <w:sz w:val="20"/>
          <w:szCs w:val="20"/>
        </w:rPr>
      </w:pPr>
      <w:r>
        <w:rPr>
          <w:sz w:val="20"/>
          <w:szCs w:val="20"/>
        </w:rPr>
        <w:t>Realizar avaliações periódicas da qualidade dos serviços, após seu recebimento.</w:t>
      </w:r>
    </w:p>
    <w:p>
      <w:pPr>
        <w:pStyle w:val="Nvel2Red"/>
        <w:numPr>
          <w:ilvl w:val="1"/>
          <w:numId w:val="1"/>
        </w:numPr>
        <w:spacing w:lineRule="auto" w:line="240" w:before="0" w:after="0"/>
        <w:rPr>
          <w:rFonts w:ascii="Arial" w:hAnsi="Arial"/>
          <w:b w:val="false"/>
          <w:b w:val="false"/>
          <w:bCs w:val="false"/>
          <w:color w:val="000000"/>
          <w:sz w:val="20"/>
          <w:szCs w:val="20"/>
        </w:rPr>
      </w:pPr>
      <w:r>
        <w:rPr>
          <w:b w:val="false"/>
          <w:bCs w:val="false"/>
          <w:color w:val="000000"/>
          <w:sz w:val="20"/>
          <w:szCs w:val="20"/>
        </w:rPr>
        <w:t>Exigir do Contratado que providencie a seguinte documentação como condição indispensável para o recebimento definitivo de objeto, quando for o caso:</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b w:val="false"/>
          <w:b w:val="false"/>
          <w:bCs w:val="false"/>
          <w:i/>
          <w:i/>
          <w:color w:val="000000"/>
          <w:sz w:val="20"/>
          <w:szCs w:val="20"/>
        </w:rPr>
      </w:pPr>
      <w:r>
        <w:rPr>
          <w:b w:val="false"/>
          <w:bCs w:val="false"/>
          <w:i/>
          <w:color w:val="000000"/>
          <w:sz w:val="20"/>
          <w:szCs w:val="20"/>
        </w:rPr>
        <w:t>a) "as built", elaborado pelo responsável por sua execução;</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b w:val="false"/>
          <w:b w:val="false"/>
          <w:bCs w:val="false"/>
          <w:i/>
          <w:i/>
          <w:color w:val="000000"/>
          <w:sz w:val="20"/>
          <w:szCs w:val="20"/>
        </w:rPr>
      </w:pPr>
      <w:r>
        <w:rPr>
          <w:b w:val="false"/>
          <w:bCs w:val="false"/>
          <w:i/>
          <w:color w:val="000000"/>
          <w:sz w:val="20"/>
          <w:szCs w:val="20"/>
        </w:rPr>
        <w:t>b) comprovação das ligações definitivas de energia, água, telefone e gás;</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b w:val="false"/>
          <w:b w:val="false"/>
          <w:bCs w:val="false"/>
          <w:i/>
          <w:i/>
          <w:color w:val="000000"/>
          <w:sz w:val="20"/>
          <w:szCs w:val="20"/>
        </w:rPr>
      </w:pPr>
      <w:r>
        <w:rPr>
          <w:b w:val="false"/>
          <w:bCs w:val="false"/>
          <w:i/>
          <w:color w:val="000000"/>
          <w:sz w:val="20"/>
          <w:szCs w:val="20"/>
        </w:rPr>
        <w:t>c) laudo de vistoria do corpo de bombeiros aprovando o serviço;</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b w:val="false"/>
          <w:b w:val="false"/>
          <w:bCs w:val="false"/>
          <w:i/>
          <w:i/>
          <w:color w:val="000000"/>
          <w:sz w:val="20"/>
          <w:szCs w:val="20"/>
        </w:rPr>
      </w:pPr>
      <w:r>
        <w:rPr>
          <w:b w:val="false"/>
          <w:bCs w:val="false"/>
          <w:i/>
          <w:color w:val="000000"/>
          <w:sz w:val="20"/>
          <w:szCs w:val="20"/>
        </w:rPr>
        <w:t>d) carta "habite-se", emitida pela prefeitura; e</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b w:val="false"/>
          <w:b w:val="false"/>
          <w:bCs w:val="false"/>
          <w:i/>
          <w:i/>
          <w:color w:val="000000"/>
          <w:sz w:val="20"/>
          <w:szCs w:val="20"/>
        </w:rPr>
      </w:pPr>
      <w:r>
        <w:rPr>
          <w:b w:val="false"/>
          <w:bCs w:val="false"/>
          <w:i/>
          <w:color w:val="000000"/>
          <w:sz w:val="20"/>
          <w:szCs w:val="20"/>
        </w:rPr>
        <w:t>e) certidão negativa de débitos previdenciários específica para o registro da obra junto ao Cartório de Registro de Imóveis;</w:t>
      </w:r>
    </w:p>
    <w:p>
      <w:pPr>
        <w:pStyle w:val="Nvel2Red"/>
        <w:numPr>
          <w:ilvl w:val="1"/>
          <w:numId w:val="1"/>
        </w:numPr>
        <w:spacing w:lineRule="auto" w:line="240" w:before="0" w:after="0"/>
        <w:rPr>
          <w:rFonts w:ascii="Arial" w:hAnsi="Arial"/>
          <w:b w:val="false"/>
          <w:b w:val="false"/>
          <w:bCs w:val="false"/>
          <w:color w:val="000000"/>
          <w:sz w:val="20"/>
          <w:szCs w:val="20"/>
        </w:rPr>
      </w:pPr>
      <w:r>
        <w:rPr>
          <w:b w:val="false"/>
          <w:bCs w:val="false"/>
          <w:color w:val="000000"/>
          <w:sz w:val="20"/>
          <w:szCs w:val="20"/>
        </w:rPr>
        <w:t>Arquivar, entre outros documentos, de projetos, "as built", especificações técnicas, orçamentos, termos de recebimento, contratos e aditamentos, relatórios de inspeções técnicas após o recebimento do serviço e notificações expedidas.</w:t>
      </w:r>
    </w:p>
    <w:p>
      <w:pPr>
        <w:pStyle w:val="Nivel2"/>
        <w:numPr>
          <w:ilvl w:val="1"/>
          <w:numId w:val="1"/>
        </w:numPr>
        <w:spacing w:lineRule="auto" w:line="240" w:before="0" w:after="0"/>
        <w:rPr>
          <w:rFonts w:ascii="Arial" w:hAnsi="Arial"/>
          <w:sz w:val="20"/>
          <w:szCs w:val="20"/>
        </w:rPr>
      </w:pPr>
      <w:r>
        <w:rPr>
          <w:sz w:val="20"/>
          <w:szCs w:val="20"/>
        </w:rPr>
        <w:t>Assegurar que o ambiente de trabalho, inclusive seus equipamentos e instalações, apresentem condições adequadas ao cumprimento, pelo Contratado, das normas de segurança e saúde no trabalho, quando o serviço for executado em suas dependências, ou em local por ela designado.</w:t>
      </w:r>
    </w:p>
    <w:p>
      <w:pPr>
        <w:pStyle w:val="Nivel2"/>
        <w:numPr>
          <w:ilvl w:val="1"/>
          <w:numId w:val="1"/>
        </w:numPr>
        <w:spacing w:lineRule="auto" w:line="240" w:before="0" w:after="0"/>
        <w:rPr>
          <w:rFonts w:ascii="Arial" w:hAnsi="Arial"/>
          <w:sz w:val="20"/>
          <w:szCs w:val="20"/>
        </w:rPr>
      </w:pPr>
      <w:r>
        <w:rPr>
          <w:sz w:val="20"/>
          <w:szCs w:val="20"/>
        </w:rPr>
        <w:t>Não responder por quaisquer compromissos assumidos pelo Contratado com terceiros, ainda que vinculados à execução do contrato, bem como por qualquer dano causado a terceiros em decorrência de ato do Contratado, de seus empregados, prepostos ou subordinados.</w:t>
      </w:r>
    </w:p>
    <w:p>
      <w:pPr>
        <w:pStyle w:val="Nivel2"/>
        <w:numPr>
          <w:ilvl w:val="1"/>
          <w:numId w:val="1"/>
        </w:numPr>
        <w:spacing w:lineRule="auto" w:line="240" w:before="0" w:after="0"/>
        <w:rPr>
          <w:rFonts w:ascii="Arial" w:hAnsi="Arial"/>
          <w:sz w:val="20"/>
          <w:szCs w:val="20"/>
        </w:rPr>
      </w:pPr>
      <w:r>
        <w:rPr>
          <w:sz w:val="20"/>
          <w:szCs w:val="20"/>
        </w:rPr>
        <w:t>Previamente à expedição da ordem de serviço, verificar pendências, liberar áreas e/ou adotar providências cabíveis para a regularidade do início da sua execução.</w:t>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rPr>
          <w:rFonts w:ascii="Arial" w:hAnsi="Arial" w:cs="Arial"/>
          <w:b/>
          <w:b/>
          <w:bCs/>
          <w:color w:val="5B5B5F"/>
          <w:sz w:val="26"/>
          <w:szCs w:val="26"/>
        </w:rPr>
      </w:pPr>
      <w:commentRangeStart w:id="34"/>
      <w:r>
        <w:rPr>
          <w:sz w:val="20"/>
          <w:szCs w:val="20"/>
        </w:rPr>
        <w:t>CLÁUSULA NONA - OBRIGAÇÕES DO CONTRATADO (</w:t>
      </w:r>
      <w:r>
        <w:fldChar w:fldCharType="begin"/>
      </w:r>
      <w:r>
        <w:rPr>
          <w:rStyle w:val="LinkdaInternet"/>
          <w:sz w:val="20"/>
          <w:szCs w:val="20"/>
        </w:rPr>
        <w:instrText> HYPERLINK "http://www.planalto.gov.br/ccivil_03/_ato2019-2022/2021/lei/L14133.htm" \l "art92"</w:instrText>
      </w:r>
      <w:r>
        <w:rPr>
          <w:rStyle w:val="LinkdaInternet"/>
          <w:sz w:val="20"/>
          <w:szCs w:val="20"/>
        </w:rPr>
        <w:fldChar w:fldCharType="separate"/>
      </w:r>
      <w:r>
        <w:rPr>
          <w:rStyle w:val="LinkdaInternet"/>
          <w:sz w:val="20"/>
          <w:szCs w:val="20"/>
        </w:rPr>
        <w:t>art. 92, XIV, XVI e XVII</w:t>
      </w:r>
      <w:r>
        <w:rPr>
          <w:rStyle w:val="LinkdaInternet"/>
          <w:sz w:val="20"/>
          <w:szCs w:val="20"/>
        </w:rPr>
        <w:fldChar w:fldCharType="end"/>
      </w:r>
      <w:r>
        <w:rPr>
          <w:sz w:val="20"/>
          <w:szCs w:val="20"/>
        </w:rPr>
        <w:t>)</w:t>
      </w:r>
      <w:commentRangeEnd w:id="34"/>
      <w:r>
        <w:commentReference w:id="34"/>
      </w:r>
      <w:r>
        <w:rPr>
          <w:sz w:val="20"/>
          <w:szCs w:val="20"/>
        </w:rPr>
      </w:r>
    </w:p>
    <w:p>
      <w:pPr>
        <w:pStyle w:val="Nivel2"/>
        <w:numPr>
          <w:ilvl w:val="1"/>
          <w:numId w:val="1"/>
        </w:numPr>
        <w:spacing w:lineRule="auto" w:line="240" w:before="0" w:after="0"/>
        <w:rPr>
          <w:rFonts w:ascii="Arial" w:hAnsi="Arial"/>
          <w:sz w:val="20"/>
          <w:szCs w:val="20"/>
        </w:rPr>
      </w:pPr>
      <w:r>
        <w:rPr>
          <w:sz w:val="20"/>
          <w:szCs w:val="20"/>
        </w:rPr>
        <w:t>O Contratado deve cumprir todas as obrigações constantes deste Contrato e de seus anexos, assumindo como exclusivamente seus os riscos e as despesas decorrentes da boa e perfeita execução do objeto, observando, ainda, as obrigações a seguir dispostas:</w:t>
      </w:r>
    </w:p>
    <w:p>
      <w:pPr>
        <w:pStyle w:val="Nivel2"/>
        <w:numPr>
          <w:ilvl w:val="1"/>
          <w:numId w:val="1"/>
        </w:numPr>
        <w:spacing w:lineRule="auto" w:line="240" w:before="0" w:after="0"/>
        <w:rPr>
          <w:rFonts w:ascii="Arial" w:hAnsi="Arial"/>
          <w:sz w:val="20"/>
          <w:szCs w:val="20"/>
        </w:rPr>
      </w:pPr>
      <w:r>
        <w:rPr>
          <w:sz w:val="20"/>
          <w:szCs w:val="20"/>
        </w:rPr>
        <w:t>Manter preposto aceito pela Administração no local do serviço para representá-lo na execução do contrato.</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A indicação ou a manutenção do preposto da empresa poderá ser recusada pelo órgão ou entidade, desde que devidamente justificada, devendo a empresa designar outro para o exercício da atividade.</w:t>
      </w:r>
    </w:p>
    <w:p>
      <w:pPr>
        <w:pStyle w:val="Nivel2"/>
        <w:numPr>
          <w:ilvl w:val="1"/>
          <w:numId w:val="1"/>
        </w:numPr>
        <w:spacing w:lineRule="auto" w:line="240" w:before="0" w:after="0"/>
        <w:rPr>
          <w:rFonts w:ascii="Arial" w:hAnsi="Arial" w:cs="Arial"/>
          <w:b/>
          <w:b/>
          <w:bCs/>
          <w:color w:val="5B5B5F"/>
          <w:sz w:val="26"/>
          <w:szCs w:val="26"/>
        </w:rPr>
      </w:pPr>
      <w:r>
        <w:rPr>
          <w:sz w:val="20"/>
          <w:szCs w:val="20"/>
        </w:rPr>
        <w:t>Atender às determinações regulares emitidas pelo fiscal do contrato ou autoridade superior (</w:t>
      </w:r>
      <w:r>
        <w:fldChar w:fldCharType="begin"/>
      </w:r>
      <w:r>
        <w:rPr>
          <w:rStyle w:val="LinkdaInternet"/>
          <w:sz w:val="20"/>
          <w:szCs w:val="20"/>
        </w:rPr>
        <w:instrText> HYPERLINK "http://www.planalto.gov.br/ccivil_03/_ato2019-2022/2021/lei/L14133.htm" \l "art137"</w:instrText>
      </w:r>
      <w:r>
        <w:rPr>
          <w:rStyle w:val="LinkdaInternet"/>
          <w:sz w:val="20"/>
          <w:szCs w:val="20"/>
        </w:rPr>
        <w:fldChar w:fldCharType="separate"/>
      </w:r>
      <w:r>
        <w:rPr>
          <w:rStyle w:val="LinkdaInternet"/>
          <w:sz w:val="20"/>
          <w:szCs w:val="20"/>
        </w:rPr>
        <w:t>art. 137, II</w:t>
      </w:r>
      <w:r>
        <w:rPr>
          <w:rStyle w:val="LinkdaInternet"/>
          <w:sz w:val="20"/>
          <w:szCs w:val="20"/>
        </w:rPr>
        <w:fldChar w:fldCharType="end"/>
      </w:r>
      <w:r>
        <w:rPr>
          <w:sz w:val="20"/>
          <w:szCs w:val="20"/>
        </w:rPr>
        <w:t>)</w:t>
      </w:r>
      <w:r>
        <w:rPr>
          <w:color w:val="000000"/>
          <w:sz w:val="20"/>
          <w:szCs w:val="20"/>
        </w:rPr>
        <w:t xml:space="preserve"> e </w:t>
      </w:r>
      <w:r>
        <w:rPr>
          <w:sz w:val="20"/>
          <w:szCs w:val="20"/>
        </w:rPr>
        <w:t>prestar todo esclarecimento ou informação por eles solicitados;</w:t>
      </w:r>
    </w:p>
    <w:p>
      <w:pPr>
        <w:pStyle w:val="Nivel2"/>
        <w:numPr>
          <w:ilvl w:val="1"/>
          <w:numId w:val="1"/>
        </w:numPr>
        <w:spacing w:lineRule="auto" w:line="240" w:before="0" w:after="0"/>
        <w:rPr>
          <w:rFonts w:ascii="Arial" w:hAnsi="Arial"/>
          <w:sz w:val="20"/>
          <w:szCs w:val="20"/>
        </w:rPr>
      </w:pPr>
      <w:r>
        <w:rPr>
          <w:sz w:val="20"/>
          <w:szCs w:val="20"/>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pPr>
        <w:pStyle w:val="Nivel2"/>
        <w:numPr>
          <w:ilvl w:val="1"/>
          <w:numId w:val="1"/>
        </w:numPr>
        <w:spacing w:lineRule="auto" w:line="240" w:before="0" w:after="0"/>
        <w:rPr>
          <w:rFonts w:ascii="Arial" w:hAnsi="Arial"/>
          <w:sz w:val="20"/>
          <w:szCs w:val="20"/>
        </w:rPr>
      </w:pPr>
      <w:commentRangeStart w:id="35"/>
      <w:r>
        <w:rPr>
          <w:sz w:val="20"/>
          <w:szCs w:val="20"/>
        </w:rPr>
        <w:t>Reparar, corrigir, remover, reconstruir ou substituir, às suas expensas, no total ou em parte, no prazo fixado pelo fiscal do contrato, os serviços nos quais se verificarem vícios, defeitos ou incorreções resultantes da execução ou dos materiais empregados;</w:t>
      </w:r>
      <w:commentRangeEnd w:id="35"/>
      <w:r>
        <w:commentReference w:id="35"/>
      </w:r>
      <w:r>
        <w:rPr>
          <w:sz w:val="20"/>
          <w:szCs w:val="20"/>
        </w:rPr>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Responsabilizar-se pelos vícios e danos decorrentes da execução do objeto, de acordo com o </w:t>
      </w:r>
      <w:hyperlink r:id="rId26">
        <w:r>
          <w:rPr>
            <w:rStyle w:val="LinkdaInternet"/>
            <w:sz w:val="20"/>
            <w:szCs w:val="20"/>
          </w:rPr>
          <w:t>Código de Defesa do Consumidor (Lei nº 8.078, de 1990</w:t>
        </w:r>
      </w:hyperlink>
      <w:r>
        <w:rPr>
          <w:sz w:val="20"/>
          <w:szCs w:val="20"/>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pPr>
        <w:pStyle w:val="Nivel2"/>
        <w:numPr>
          <w:ilvl w:val="1"/>
          <w:numId w:val="1"/>
        </w:numPr>
        <w:spacing w:lineRule="auto" w:line="240" w:before="0" w:after="0"/>
        <w:rPr>
          <w:rFonts w:ascii="Arial" w:hAnsi="Arial"/>
          <w:sz w:val="20"/>
          <w:szCs w:val="20"/>
        </w:rPr>
      </w:pPr>
      <w:r>
        <w:rPr>
          <w:sz w:val="20"/>
          <w:szCs w:val="20"/>
        </w:rPr>
        <w:t xml:space="preserve">Efetuar comunicação ao Contratante, assim que tiver ciência da impossibilidade de realização ou finalização do serviço no prazo estabelecido, para adoção de ações de contingência cabíveis. </w:t>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Não contratar, durante a vigência do contrato, cônjuge, companheiro ou parente em linha reta, colateral ou por afinidade, até o terceiro grau, de dirigente do contratante ou do fiscal ou gestor do contrato, nos termos do </w:t>
      </w:r>
      <w:r>
        <w:fldChar w:fldCharType="begin"/>
      </w:r>
      <w:r>
        <w:rPr>
          <w:rStyle w:val="LinkdaInternet"/>
          <w:sz w:val="20"/>
          <w:szCs w:val="20"/>
        </w:rPr>
        <w:instrText> HYPERLINK "http://www.planalto.gov.br/ccivil_03/_ato2019-2022/2021/lei/L14133.htm" \l "art48"</w:instrText>
      </w:r>
      <w:r>
        <w:rPr>
          <w:rStyle w:val="LinkdaInternet"/>
          <w:sz w:val="20"/>
          <w:szCs w:val="20"/>
        </w:rPr>
        <w:fldChar w:fldCharType="separate"/>
      </w:r>
      <w:r>
        <w:rPr>
          <w:rStyle w:val="LinkdaInternet"/>
          <w:sz w:val="20"/>
          <w:szCs w:val="20"/>
        </w:rPr>
        <w:t>artigo 48, parágrafo único, da Lei nº 14.133, de 2021</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sz w:val="20"/>
          <w:szCs w:val="20"/>
        </w:rPr>
      </w:pPr>
      <w:r>
        <w:rPr>
          <w:sz w:val="20"/>
          <w:szCs w:val="20"/>
        </w:rPr>
        <w:t>O</w:t>
      </w:r>
      <w:commentRangeStart w:id="36"/>
      <w:r>
        <w:rPr>
          <w:sz w:val="20"/>
          <w:szCs w:val="20"/>
        </w:rPr>
        <w:t xml:space="preserve"> contratado deverá entregar ao setor responsável pela fiscalização do contrato, do mês seguinte ao da prestação dos serviços, os seguintes documentos: </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sz w:val="20"/>
          <w:szCs w:val="20"/>
        </w:rPr>
      </w:pPr>
      <w:r>
        <w:rPr>
          <w:sz w:val="20"/>
          <w:szCs w:val="20"/>
        </w:rPr>
        <w:t xml:space="preserve">a) prova de regularidade relativa à Seguridade Social; </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sz w:val="20"/>
          <w:szCs w:val="20"/>
        </w:rPr>
      </w:pPr>
      <w:r>
        <w:rPr>
          <w:sz w:val="20"/>
          <w:szCs w:val="20"/>
        </w:rPr>
        <w:t>b) certidão conjunta relativa aos tributos federais e à Dívida Ativa da União;</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sz w:val="20"/>
          <w:szCs w:val="20"/>
        </w:rPr>
      </w:pPr>
      <w:r>
        <w:rPr>
          <w:sz w:val="20"/>
          <w:szCs w:val="20"/>
        </w:rPr>
        <w:t xml:space="preserve">c) certidões que comprovem a regularidade perante a Fazenda Municipal ou Distrital do domicílio ou sede do contratado; </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sz w:val="20"/>
          <w:szCs w:val="20"/>
        </w:rPr>
      </w:pPr>
      <w:r>
        <w:rPr>
          <w:sz w:val="20"/>
          <w:szCs w:val="20"/>
        </w:rPr>
        <w:t>d) Certidão de Regularidade do FGTS – CRF; e</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sz w:val="20"/>
          <w:szCs w:val="20"/>
        </w:rPr>
      </w:pPr>
      <w:r>
        <w:rPr>
          <w:sz w:val="20"/>
          <w:szCs w:val="20"/>
        </w:rPr>
        <w:t xml:space="preserve">e) Certidão Negativa de Débitos Trabalhistas – CNDT; </w:t>
      </w:r>
      <w:commentRangeEnd w:id="36"/>
      <w:r>
        <w:commentReference w:id="36"/>
      </w:r>
      <w:r>
        <w:rPr>
          <w:sz w:val="20"/>
          <w:szCs w:val="20"/>
        </w:rPr>
      </w:r>
    </w:p>
    <w:p>
      <w:pPr>
        <w:pStyle w:val="Nivel2"/>
        <w:numPr>
          <w:ilvl w:val="1"/>
          <w:numId w:val="1"/>
        </w:numPr>
        <w:spacing w:lineRule="auto" w:line="240" w:before="0" w:after="0"/>
        <w:rPr>
          <w:rFonts w:ascii="Arial" w:hAnsi="Arial"/>
          <w:sz w:val="20"/>
          <w:szCs w:val="20"/>
        </w:rPr>
      </w:pPr>
      <w:r>
        <w:rPr>
          <w:sz w:val="20"/>
          <w:szCs w:val="20"/>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pPr>
        <w:pStyle w:val="Nivel2"/>
        <w:numPr>
          <w:ilvl w:val="1"/>
          <w:numId w:val="1"/>
        </w:numPr>
        <w:spacing w:lineRule="auto" w:line="240" w:before="0" w:after="0"/>
        <w:rPr>
          <w:rFonts w:ascii="Arial" w:hAnsi="Arial"/>
          <w:sz w:val="20"/>
          <w:szCs w:val="20"/>
        </w:rPr>
      </w:pPr>
      <w:r>
        <w:rPr>
          <w:sz w:val="20"/>
          <w:szCs w:val="20"/>
        </w:rPr>
        <w:t>Comunicar ao Fiscal do contrato, no prazo de 24 (vinte e quatro) horas, qualquer ocorrência anormal ou acidente que se verifique no local dos serviços.</w:t>
      </w:r>
    </w:p>
    <w:p>
      <w:pPr>
        <w:pStyle w:val="Nivel2"/>
        <w:numPr>
          <w:ilvl w:val="1"/>
          <w:numId w:val="1"/>
        </w:numPr>
        <w:spacing w:lineRule="auto" w:line="240" w:before="0" w:after="0"/>
        <w:rPr>
          <w:rFonts w:ascii="Arial" w:hAnsi="Arial"/>
          <w:sz w:val="20"/>
          <w:szCs w:val="20"/>
        </w:rPr>
      </w:pPr>
      <w:r>
        <w:rPr>
          <w:sz w:val="20"/>
          <w:szCs w:val="20"/>
        </w:rPr>
        <w:t>Prestar todo esclarecimento ou informação solicitada pelo Contratante ou por seus prepostos, garantindo-lhes o acesso, a qualquer tempo, ao local dos trabalhos, bem como aos documentos relativos à execução do empreendimento.</w:t>
      </w:r>
    </w:p>
    <w:p>
      <w:pPr>
        <w:pStyle w:val="Nivel2"/>
        <w:numPr>
          <w:ilvl w:val="1"/>
          <w:numId w:val="1"/>
        </w:numPr>
        <w:spacing w:lineRule="auto" w:line="240" w:before="0" w:after="0"/>
        <w:rPr>
          <w:rFonts w:ascii="Arial" w:hAnsi="Arial"/>
          <w:sz w:val="20"/>
          <w:szCs w:val="20"/>
        </w:rPr>
      </w:pPr>
      <w:r>
        <w:rPr>
          <w:sz w:val="20"/>
          <w:szCs w:val="20"/>
        </w:rPr>
        <w:t>Paralisar, por determinação do Contratante, qualquer atividade que não esteja sendo executada de acordo com a boa técnica ou que ponha em risco a segurança de pessoas ou bens de terceiros.</w:t>
      </w:r>
    </w:p>
    <w:p>
      <w:pPr>
        <w:pStyle w:val="Nivel2"/>
        <w:numPr>
          <w:ilvl w:val="1"/>
          <w:numId w:val="1"/>
        </w:numPr>
        <w:spacing w:lineRule="auto" w:line="240" w:before="0" w:after="0"/>
        <w:rPr>
          <w:rFonts w:ascii="Arial" w:hAnsi="Arial"/>
          <w:sz w:val="20"/>
          <w:szCs w:val="20"/>
        </w:rPr>
      </w:pPr>
      <w:r>
        <w:rPr>
          <w:sz w:val="20"/>
          <w:szCs w:val="20"/>
        </w:rPr>
        <w:t>Promover a guarda, manutenção e vigilância de materiais, ferramentas, e tudo o que for necessário à execução do objeto, durante a vigência do contrato.</w:t>
      </w:r>
    </w:p>
    <w:p>
      <w:pPr>
        <w:pStyle w:val="Nivel2"/>
        <w:numPr>
          <w:ilvl w:val="1"/>
          <w:numId w:val="1"/>
        </w:numPr>
        <w:spacing w:lineRule="auto" w:line="240" w:before="0" w:after="0"/>
        <w:rPr>
          <w:rFonts w:ascii="Arial" w:hAnsi="Arial"/>
          <w:sz w:val="20"/>
          <w:szCs w:val="20"/>
        </w:rPr>
      </w:pPr>
      <w:r>
        <w:rPr>
          <w:sz w:val="20"/>
          <w:szCs w:val="20"/>
        </w:rPr>
        <w:t>Conduzir os trabalhos com estrita observância às normas da legislação pertinente, cumprindo as determinações dos Poderes Públicos, mantendo sempre limpo o local dos serviços e nas melhores condições de segurança, higiene e disciplina.</w:t>
      </w:r>
    </w:p>
    <w:p>
      <w:pPr>
        <w:pStyle w:val="Nivel2"/>
        <w:numPr>
          <w:ilvl w:val="1"/>
          <w:numId w:val="1"/>
        </w:numPr>
        <w:spacing w:lineRule="auto" w:line="240" w:before="0" w:after="0"/>
        <w:rPr>
          <w:rFonts w:ascii="Arial" w:hAnsi="Arial"/>
          <w:sz w:val="20"/>
          <w:szCs w:val="20"/>
        </w:rPr>
      </w:pPr>
      <w:r>
        <w:rPr>
          <w:sz w:val="20"/>
          <w:szCs w:val="20"/>
        </w:rPr>
        <w:t>Submeter previamente, por escrito, ao Contratante, para análise e aprovação, quaisquer mudanças nos métodos executivos que fujam às especificações do memorial descritivo ou instrumento congênere.</w:t>
      </w:r>
    </w:p>
    <w:p>
      <w:pPr>
        <w:pStyle w:val="Nivel2"/>
        <w:numPr>
          <w:ilvl w:val="1"/>
          <w:numId w:val="1"/>
        </w:numPr>
        <w:spacing w:lineRule="auto" w:line="240" w:before="0" w:after="0"/>
        <w:rPr>
          <w:rFonts w:ascii="Arial" w:hAnsi="Arial"/>
          <w:sz w:val="20"/>
          <w:szCs w:val="20"/>
        </w:rPr>
      </w:pPr>
      <w:r>
        <w:rPr>
          <w:sz w:val="20"/>
          <w:szCs w:val="20"/>
        </w:rPr>
        <w:t>Não permitir a utilização de qualquer trabalho do menor de dezesseis anos, exceto na condição de aprendiz para os maiores de quatorze anos, nem permitir a utilização do trabalho do menor de dezoito anos em trabalho noturno, perigoso ou insalubre;</w:t>
      </w:r>
    </w:p>
    <w:p>
      <w:pPr>
        <w:pStyle w:val="Nivel2"/>
        <w:numPr>
          <w:ilvl w:val="1"/>
          <w:numId w:val="1"/>
        </w:numPr>
        <w:spacing w:lineRule="auto" w:line="240" w:before="0" w:after="0"/>
        <w:rPr>
          <w:rFonts w:ascii="Arial" w:hAnsi="Arial"/>
          <w:sz w:val="20"/>
          <w:szCs w:val="20"/>
        </w:rPr>
      </w:pPr>
      <w:r>
        <w:rPr>
          <w:sz w:val="20"/>
          <w:szCs w:val="20"/>
        </w:rPr>
        <w:t xml:space="preserve"> </w:t>
      </w:r>
      <w:r>
        <w:rPr>
          <w:sz w:val="20"/>
          <w:szCs w:val="20"/>
        </w:rPr>
        <w:t xml:space="preserve">Manter durante toda a vigência do contrato, em compatibilidade com as obrigações assumidas, todas as condições exigidas para habilitação na licitação; </w:t>
      </w:r>
    </w:p>
    <w:p>
      <w:pPr>
        <w:pStyle w:val="Nivel2"/>
        <w:numPr>
          <w:ilvl w:val="1"/>
          <w:numId w:val="1"/>
        </w:numPr>
        <w:spacing w:lineRule="auto" w:line="240" w:before="0" w:after="0"/>
        <w:rPr>
          <w:rFonts w:ascii="Arial" w:hAnsi="Arial" w:cs="Arial"/>
          <w:b/>
          <w:b/>
          <w:bCs/>
          <w:color w:val="5B5B5F"/>
          <w:sz w:val="26"/>
          <w:szCs w:val="26"/>
        </w:rPr>
      </w:pPr>
      <w:r>
        <w:rPr>
          <w:sz w:val="20"/>
          <w:szCs w:val="20"/>
        </w:rPr>
        <w:t>Cumprir, durante todo o período de execução do contrato, a reserva de cargos prevista em lei para pessoa com deficiência, para reabilitado da Previdência Social ou para aprendiz, bem como as reservas de cargos previstas na legislação (</w:t>
      </w:r>
      <w:r>
        <w:fldChar w:fldCharType="begin"/>
      </w:r>
      <w:r>
        <w:rPr>
          <w:rStyle w:val="LinkdaInternet"/>
          <w:sz w:val="20"/>
          <w:szCs w:val="20"/>
        </w:rPr>
        <w:instrText> HYPERLINK "http://www.planalto.gov.br/ccivil_03/_ato2019-2022/2021/lei/L14133.htm" \l "art116"</w:instrText>
      </w:r>
      <w:r>
        <w:rPr>
          <w:rStyle w:val="LinkdaInternet"/>
          <w:sz w:val="20"/>
          <w:szCs w:val="20"/>
        </w:rPr>
        <w:fldChar w:fldCharType="separate"/>
      </w:r>
      <w:r>
        <w:rPr>
          <w:rStyle w:val="LinkdaInternet"/>
          <w:sz w:val="20"/>
          <w:szCs w:val="20"/>
        </w:rPr>
        <w:t>art. 116</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cs="Arial"/>
          <w:b/>
          <w:b/>
          <w:bCs/>
          <w:color w:val="5B5B5F"/>
          <w:sz w:val="26"/>
          <w:szCs w:val="26"/>
        </w:rPr>
      </w:pPr>
      <w:r>
        <w:rPr>
          <w:sz w:val="20"/>
          <w:szCs w:val="20"/>
        </w:rPr>
        <w:t>Comprovar a reserva de cargos a que se refere a cláusula acima, no prazo fixado pelo fiscal do contrato, com a indicação dos empregados que preencheram as referidas vagas (</w:t>
      </w:r>
      <w:r>
        <w:fldChar w:fldCharType="begin"/>
      </w:r>
      <w:r>
        <w:rPr>
          <w:rStyle w:val="LinkdaInternet"/>
          <w:sz w:val="20"/>
          <w:szCs w:val="20"/>
        </w:rPr>
        <w:instrText> HYPERLINK "http://www.planalto.gov.br/ccivil_03/_ato2019-2022/2021/lei/L14133.htm" \l "art116"</w:instrText>
      </w:r>
      <w:r>
        <w:rPr>
          <w:rStyle w:val="LinkdaInternet"/>
          <w:sz w:val="20"/>
          <w:szCs w:val="20"/>
        </w:rPr>
        <w:fldChar w:fldCharType="separate"/>
      </w:r>
      <w:r>
        <w:rPr>
          <w:rStyle w:val="LinkdaInternet"/>
          <w:sz w:val="20"/>
          <w:szCs w:val="20"/>
        </w:rPr>
        <w:t>art. 116, parágrafo único</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sz w:val="20"/>
          <w:szCs w:val="20"/>
        </w:rPr>
      </w:pPr>
      <w:r>
        <w:rPr>
          <w:sz w:val="20"/>
          <w:szCs w:val="20"/>
        </w:rPr>
        <w:t>Guardar sigilo sobre todas as informações obtidas em decorrência do cumprimento do contrato;</w:t>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r>
        <w:fldChar w:fldCharType="begin"/>
      </w:r>
      <w:r>
        <w:rPr>
          <w:rStyle w:val="LinkdaInternet"/>
          <w:sz w:val="20"/>
          <w:szCs w:val="20"/>
        </w:rPr>
        <w:instrText> HYPERLINK "http://www.planalto.gov.br/ccivil_03/_ato2019-2022/2021/lei/L14133.htm" \l "art124"</w:instrText>
      </w:r>
      <w:r>
        <w:rPr>
          <w:rStyle w:val="LinkdaInternet"/>
          <w:sz w:val="20"/>
          <w:szCs w:val="20"/>
        </w:rPr>
        <w:fldChar w:fldCharType="separate"/>
      </w:r>
      <w:r>
        <w:rPr>
          <w:rStyle w:val="LinkdaInternet"/>
          <w:sz w:val="20"/>
          <w:szCs w:val="20"/>
        </w:rPr>
        <w:t>art. 124, II, d, da Lei nº 14.133, de 2021</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sz w:val="20"/>
          <w:szCs w:val="20"/>
        </w:rPr>
      </w:pPr>
      <w:r>
        <w:rPr>
          <w:sz w:val="20"/>
          <w:szCs w:val="20"/>
        </w:rPr>
        <w:t>Cumprir, além dos postulados legais vigentes de âmbito federal, estadual ou municipal, as normas de segurança do Contratante;</w:t>
      </w:r>
    </w:p>
    <w:p>
      <w:pPr>
        <w:pStyle w:val="Nivel2"/>
        <w:numPr>
          <w:ilvl w:val="1"/>
          <w:numId w:val="1"/>
        </w:numPr>
        <w:spacing w:lineRule="auto" w:line="240" w:before="0" w:after="0"/>
        <w:rPr>
          <w:rFonts w:ascii="Arial" w:hAnsi="Arial"/>
          <w:sz w:val="20"/>
          <w:szCs w:val="20"/>
        </w:rPr>
      </w:pPr>
      <w:r>
        <w:rPr>
          <w:sz w:val="20"/>
          <w:szCs w:val="20"/>
        </w:rPr>
        <w:t>Manter os empregados nos horários predeterminados pelo Contratante.</w:t>
      </w:r>
    </w:p>
    <w:p>
      <w:pPr>
        <w:pStyle w:val="Nivel2"/>
        <w:numPr>
          <w:ilvl w:val="1"/>
          <w:numId w:val="1"/>
        </w:numPr>
        <w:spacing w:lineRule="auto" w:line="240" w:before="0" w:after="0"/>
        <w:rPr>
          <w:rFonts w:ascii="Arial" w:hAnsi="Arial"/>
          <w:sz w:val="20"/>
          <w:szCs w:val="20"/>
        </w:rPr>
      </w:pPr>
      <w:r>
        <w:rPr>
          <w:sz w:val="20"/>
          <w:szCs w:val="20"/>
        </w:rPr>
        <w:t>Apresentar os empregados devidamente identificados por meio de crachá.</w:t>
      </w:r>
    </w:p>
    <w:p>
      <w:pPr>
        <w:pStyle w:val="Nivel2"/>
        <w:numPr>
          <w:ilvl w:val="1"/>
          <w:numId w:val="1"/>
        </w:numPr>
        <w:spacing w:lineRule="auto" w:line="240" w:before="0" w:after="0"/>
        <w:rPr>
          <w:rFonts w:ascii="Arial" w:hAnsi="Arial"/>
          <w:sz w:val="20"/>
          <w:szCs w:val="20"/>
        </w:rPr>
      </w:pPr>
      <w:r>
        <w:rPr>
          <w:sz w:val="20"/>
          <w:szCs w:val="20"/>
        </w:rPr>
        <w:t>Apresentar ao Contratante, quando for o caso, a relação nominal dos empregados que adentrarão no órgão para a execução do serviço.</w:t>
      </w:r>
    </w:p>
    <w:p>
      <w:pPr>
        <w:pStyle w:val="Nivel2"/>
        <w:numPr>
          <w:ilvl w:val="1"/>
          <w:numId w:val="1"/>
        </w:numPr>
        <w:spacing w:lineRule="auto" w:line="240" w:before="0" w:after="0"/>
        <w:rPr>
          <w:rFonts w:ascii="Arial" w:hAnsi="Arial"/>
          <w:sz w:val="20"/>
          <w:szCs w:val="20"/>
        </w:rPr>
      </w:pPr>
      <w:r>
        <w:rPr>
          <w:sz w:val="20"/>
          <w:szCs w:val="20"/>
        </w:rPr>
        <w:t>Observar os preceitos da legislação sobre a jornada de trabalho, conforme a categoria profissional.</w:t>
      </w:r>
    </w:p>
    <w:p>
      <w:pPr>
        <w:pStyle w:val="Nivel2"/>
        <w:numPr>
          <w:ilvl w:val="1"/>
          <w:numId w:val="1"/>
        </w:numPr>
        <w:spacing w:lineRule="auto" w:line="240" w:before="0" w:after="0"/>
        <w:rPr>
          <w:rFonts w:ascii="Arial" w:hAnsi="Arial"/>
          <w:sz w:val="20"/>
          <w:szCs w:val="20"/>
        </w:rPr>
      </w:pPr>
      <w:r>
        <w:rPr>
          <w:sz w:val="20"/>
          <w:szCs w:val="20"/>
        </w:rPr>
        <w:t>Atender às solicitações do Contratante quanto à substituição dos empregados alocados, no prazo fixado pela fiscalização do contrato, nos casos em que ficar constatado descumprimento das obrigações relativas à execução do serviço, conforme descrito nas especificações do objeto.</w:t>
      </w:r>
    </w:p>
    <w:p>
      <w:pPr>
        <w:pStyle w:val="Nivel2"/>
        <w:numPr>
          <w:ilvl w:val="1"/>
          <w:numId w:val="1"/>
        </w:numPr>
        <w:spacing w:lineRule="auto" w:line="240" w:before="0" w:after="0"/>
        <w:rPr>
          <w:rFonts w:ascii="Arial" w:hAnsi="Arial"/>
          <w:sz w:val="20"/>
          <w:szCs w:val="20"/>
        </w:rPr>
      </w:pPr>
      <w:r>
        <w:rPr>
          <w:sz w:val="20"/>
          <w:szCs w:val="20"/>
        </w:rPr>
        <w:t>Instruir seus emp</w:t>
      </w:r>
      <w:r>
        <w:rPr>
          <w:i w:val="false"/>
          <w:iCs w:val="false"/>
          <w:sz w:val="20"/>
          <w:szCs w:val="20"/>
        </w:rPr>
        <w:t>regados quanto à necessidade de acatar as Normas Internas do Contratante.</w:t>
      </w:r>
    </w:p>
    <w:p>
      <w:pPr>
        <w:pStyle w:val="Nivel2"/>
        <w:numPr>
          <w:ilvl w:val="1"/>
          <w:numId w:val="1"/>
        </w:numPr>
        <w:spacing w:lineRule="auto" w:line="240" w:before="0" w:after="0"/>
        <w:rPr>
          <w:rFonts w:ascii="Arial" w:hAnsi="Arial"/>
          <w:i w:val="false"/>
          <w:i w:val="false"/>
          <w:iCs w:val="false"/>
          <w:sz w:val="20"/>
          <w:szCs w:val="20"/>
        </w:rPr>
      </w:pPr>
      <w:r>
        <w:rPr>
          <w:i w:val="false"/>
          <w:iCs w:val="false"/>
          <w:sz w:val="20"/>
          <w:szCs w:val="20"/>
        </w:rPr>
        <w:t>Instruir seus empregados a respeito das atividades a serem desempenhadas, alertando-os a não executarem atividades não abrangidas pelo contrato, devendo o Contratado relatar ao Contratante toda e qualquer ocorrência neste sentido, a fim de evitar desvio de função.</w:t>
      </w:r>
    </w:p>
    <w:p>
      <w:pPr>
        <w:pStyle w:val="Nivel2"/>
        <w:numPr>
          <w:ilvl w:val="1"/>
          <w:numId w:val="1"/>
        </w:numPr>
        <w:spacing w:lineRule="auto" w:line="240" w:before="0" w:after="0"/>
        <w:rPr>
          <w:rFonts w:ascii="Arial" w:hAnsi="Arial"/>
          <w:i w:val="false"/>
          <w:i w:val="false"/>
          <w:iCs w:val="false"/>
          <w:sz w:val="20"/>
          <w:szCs w:val="20"/>
        </w:rPr>
      </w:pPr>
      <w:r>
        <w:rPr>
          <w:i w:val="false"/>
          <w:iCs w:val="false"/>
          <w:sz w:val="20"/>
          <w:szCs w:val="20"/>
        </w:rPr>
        <w:t>Instruir os seus empregados, quanto à prevenção de incêndios nas áreas do Contratante.</w:t>
      </w:r>
    </w:p>
    <w:p>
      <w:pPr>
        <w:pStyle w:val="Nivel2"/>
        <w:numPr>
          <w:ilvl w:val="1"/>
          <w:numId w:val="1"/>
        </w:numPr>
        <w:spacing w:lineRule="auto" w:line="240" w:before="0" w:after="0"/>
        <w:rPr>
          <w:rFonts w:ascii="Arial" w:hAnsi="Arial"/>
          <w:i w:val="false"/>
          <w:i w:val="false"/>
          <w:iCs w:val="false"/>
          <w:sz w:val="20"/>
          <w:szCs w:val="20"/>
        </w:rPr>
      </w:pPr>
      <w:r>
        <w:rPr>
          <w:i w:val="false"/>
          <w:iCs w:val="false"/>
          <w:sz w:val="20"/>
          <w:szCs w:val="20"/>
        </w:rPr>
        <w:t>Adotar as providências e precauções necessárias, inclusive consulta nos respectivos órgãos, se necessário for, a fim de que não venham a ser danificadas as redes hidrossanitárias, elétricas e de comunicação.</w:t>
      </w:r>
    </w:p>
    <w:p>
      <w:pPr>
        <w:pStyle w:val="Nivel2"/>
        <w:numPr>
          <w:ilvl w:val="1"/>
          <w:numId w:val="1"/>
        </w:numPr>
        <w:spacing w:lineRule="auto" w:line="240" w:before="0" w:after="0"/>
        <w:rPr>
          <w:rFonts w:ascii="Arial" w:hAnsi="Arial"/>
          <w:sz w:val="20"/>
          <w:szCs w:val="20"/>
        </w:rPr>
      </w:pPr>
      <w:commentRangeStart w:id="37"/>
      <w:r>
        <w:rPr>
          <w:i w:val="false"/>
          <w:iCs w:val="false"/>
          <w:sz w:val="20"/>
          <w:szCs w:val="20"/>
        </w:rPr>
        <w:t>Estar registrada ou inscrita no Conselho Profissional competente, conforme as áreas de atuação previstas no Termo de Referência, em plena validade.</w:t>
      </w:r>
      <w:commentRangeEnd w:id="37"/>
      <w:r>
        <w:commentReference w:id="37"/>
      </w:r>
      <w:r>
        <w:rPr>
          <w:i w:val="false"/>
          <w:iCs w:val="false"/>
          <w:sz w:val="20"/>
          <w:szCs w:val="20"/>
        </w:rPr>
      </w:r>
    </w:p>
    <w:p>
      <w:pPr>
        <w:pStyle w:val="Nivel2"/>
        <w:numPr>
          <w:ilvl w:val="1"/>
          <w:numId w:val="1"/>
        </w:numPr>
        <w:spacing w:lineRule="auto" w:line="240" w:before="0" w:after="0"/>
        <w:rPr>
          <w:rFonts w:ascii="Arial" w:hAnsi="Arial"/>
          <w:i w:val="false"/>
          <w:i w:val="false"/>
          <w:iCs w:val="false"/>
          <w:sz w:val="20"/>
          <w:szCs w:val="20"/>
        </w:rPr>
      </w:pPr>
      <w:r>
        <w:rPr>
          <w:i w:val="false"/>
          <w:iCs w:val="false"/>
          <w:sz w:val="20"/>
          <w:szCs w:val="20"/>
        </w:rPr>
        <w:t>Obter junto aos órgãos competentes, conforme o caso, as licenças necessárias e demais documentos e autorizações exigíveis, na forma da legislação aplicável.</w:t>
      </w:r>
    </w:p>
    <w:p>
      <w:pPr>
        <w:pStyle w:val="Nivel2"/>
        <w:numPr>
          <w:ilvl w:val="1"/>
          <w:numId w:val="1"/>
        </w:numPr>
        <w:spacing w:lineRule="auto" w:line="240" w:before="0" w:after="0"/>
        <w:rPr>
          <w:rFonts w:ascii="Arial" w:hAnsi="Arial"/>
          <w:sz w:val="20"/>
          <w:szCs w:val="20"/>
        </w:rPr>
      </w:pPr>
      <w:r>
        <w:rPr>
          <w:i w:val="false"/>
          <w:iCs w:val="false"/>
          <w:sz w:val="20"/>
          <w:szCs w:val="20"/>
        </w:rPr>
        <w:t>Elaborar o Diário de Obra, incluindo diariamente, pelo Engenheiro preposto responsável, as informações sobre o andamento do empreendimento, tais como, número de funcionários, de equipamentos, condições de trabalho, condições meteorológicas, serviços executados, registro de ocorrências e outros fatos relacionados, bem como os comunicados à Fiscalização e situação das atividades em relação ao cronograma previsto.</w:t>
      </w:r>
    </w:p>
    <w:p>
      <w:pPr>
        <w:pStyle w:val="Nivel2"/>
        <w:numPr>
          <w:ilvl w:val="1"/>
          <w:numId w:val="1"/>
        </w:numPr>
        <w:spacing w:lineRule="auto" w:line="240" w:before="0" w:after="0"/>
        <w:rPr>
          <w:rFonts w:ascii="Arial" w:hAnsi="Arial"/>
          <w:i w:val="false"/>
          <w:i w:val="false"/>
          <w:iCs w:val="false"/>
          <w:sz w:val="20"/>
          <w:szCs w:val="20"/>
        </w:rPr>
      </w:pPr>
      <w:r>
        <w:rPr>
          <w:i w:val="false"/>
          <w:iCs w:val="false"/>
          <w:sz w:val="20"/>
          <w:szCs w:val="20"/>
        </w:rPr>
        <w:t>Refazer, às suas expensas, os trabalhos executados em desacordo com o estabelecido nas especificações, bem como substituir aqueles realizados com materiais defeituosos ou com vício de construção, pelo prazo de 05 (cinco) anos, contado da data de emissão do Termo de Recebimento Definitivo.</w:t>
      </w:r>
    </w:p>
    <w:p>
      <w:pPr>
        <w:pStyle w:val="Nivel2"/>
        <w:numPr>
          <w:ilvl w:val="1"/>
          <w:numId w:val="1"/>
        </w:numPr>
        <w:spacing w:lineRule="auto" w:line="240" w:before="0" w:after="0"/>
        <w:rPr>
          <w:rFonts w:ascii="Arial" w:hAnsi="Arial" w:cs="Arial"/>
          <w:b/>
          <w:b/>
          <w:bCs/>
          <w:color w:val="5B5B5F"/>
          <w:sz w:val="26"/>
          <w:szCs w:val="26"/>
        </w:rPr>
      </w:pPr>
      <w:r>
        <w:rPr>
          <w:i w:val="false"/>
          <w:iCs w:val="false"/>
          <w:sz w:val="20"/>
          <w:szCs w:val="20"/>
        </w:rPr>
        <w:t xml:space="preserve">Utilizar somente matéria-prima florestal procedente, nos termos do </w:t>
      </w:r>
      <w:r>
        <w:fldChar w:fldCharType="begin"/>
      </w:r>
      <w:r>
        <w:rPr>
          <w:rStyle w:val="LinkdaInternet"/>
          <w:sz w:val="20"/>
          <w:i w:val="false"/>
          <w:szCs w:val="20"/>
          <w:iCs w:val="false"/>
        </w:rPr>
        <w:instrText> HYPERLINK "http://www.planalto.gov.br/ccivil_03/_ato2004-2006/2006/decreto/d5975.htm" \l "art11"</w:instrText>
      </w:r>
      <w:r>
        <w:rPr>
          <w:rStyle w:val="LinkdaInternet"/>
          <w:sz w:val="20"/>
          <w:i w:val="false"/>
          <w:szCs w:val="20"/>
          <w:iCs w:val="false"/>
        </w:rPr>
        <w:fldChar w:fldCharType="separate"/>
      </w:r>
      <w:r>
        <w:rPr>
          <w:rStyle w:val="LinkdaInternet"/>
          <w:i w:val="false"/>
          <w:iCs w:val="false"/>
          <w:sz w:val="20"/>
          <w:szCs w:val="20"/>
        </w:rPr>
        <w:t>artigo 11 do Decreto n° 5.975, de 2006</w:t>
      </w:r>
      <w:r>
        <w:rPr>
          <w:rStyle w:val="LinkdaInternet"/>
          <w:sz w:val="20"/>
          <w:i w:val="false"/>
          <w:szCs w:val="20"/>
          <w:iCs w:val="false"/>
        </w:rPr>
        <w:fldChar w:fldCharType="end"/>
      </w:r>
      <w:r>
        <w:rPr>
          <w:i w:val="false"/>
          <w:iCs w:val="false"/>
          <w:sz w:val="20"/>
          <w:szCs w:val="20"/>
        </w:rPr>
        <w:t xml:space="preserve">, de: </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i w:val="false"/>
          <w:i w:val="false"/>
          <w:iCs w:val="false"/>
          <w:sz w:val="20"/>
          <w:szCs w:val="20"/>
        </w:rPr>
      </w:pPr>
      <w:r>
        <w:rPr>
          <w:i w:val="false"/>
          <w:iCs w:val="false"/>
          <w:sz w:val="20"/>
          <w:szCs w:val="20"/>
        </w:rPr>
        <w:t>a) manejo florestal, realizado por meio de Plano de Manejo Florestal Sustentável - PMFS devidamente aprovado pelo órgão competente do Sistema Nacional do Meio Ambiente - SISNAMA;</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i w:val="false"/>
          <w:i w:val="false"/>
          <w:iCs w:val="false"/>
          <w:sz w:val="20"/>
          <w:szCs w:val="20"/>
        </w:rPr>
      </w:pPr>
      <w:r>
        <w:rPr>
          <w:i w:val="false"/>
          <w:iCs w:val="false"/>
          <w:sz w:val="20"/>
          <w:szCs w:val="20"/>
        </w:rPr>
        <w:t xml:space="preserve">b) supressão da vegetação natural, devidamente autorizada pelo órgão competente do Sistema Nacional do Meio Ambiente - SISNAMA; </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i w:val="false"/>
          <w:i w:val="false"/>
          <w:iCs w:val="false"/>
          <w:sz w:val="20"/>
          <w:szCs w:val="20"/>
        </w:rPr>
      </w:pPr>
      <w:r>
        <w:rPr>
          <w:i w:val="false"/>
          <w:iCs w:val="false"/>
          <w:sz w:val="20"/>
          <w:szCs w:val="20"/>
        </w:rPr>
        <w:t xml:space="preserve">c) florestas plantadas; e </w:t>
      </w:r>
    </w:p>
    <w:p>
      <w:pPr>
        <w:pStyle w:val="Nivel2"/>
        <w:widowControl/>
        <w:numPr>
          <w:ilvl w:val="0"/>
          <w:numId w:val="0"/>
        </w:numPr>
        <w:suppressAutoHyphens w:val="true"/>
        <w:overflowPunct w:val="true"/>
        <w:bidi w:val="0"/>
        <w:spacing w:lineRule="auto" w:line="240" w:before="0" w:after="0"/>
        <w:ind w:left="567" w:right="0" w:hanging="0"/>
        <w:jc w:val="both"/>
        <w:rPr>
          <w:rFonts w:ascii="Arial" w:hAnsi="Arial"/>
          <w:i w:val="false"/>
          <w:i w:val="false"/>
          <w:iCs w:val="false"/>
          <w:sz w:val="20"/>
          <w:szCs w:val="20"/>
        </w:rPr>
      </w:pPr>
      <w:r>
        <w:rPr>
          <w:i w:val="false"/>
          <w:iCs w:val="false"/>
          <w:sz w:val="20"/>
          <w:szCs w:val="20"/>
        </w:rPr>
        <w:t>d) outras fontes de biomassa florestal, definidas em normas específicas do órgão ambiental competente.</w:t>
      </w:r>
    </w:p>
    <w:p>
      <w:pPr>
        <w:pStyle w:val="Nivel2"/>
        <w:numPr>
          <w:ilvl w:val="1"/>
          <w:numId w:val="1"/>
        </w:numPr>
        <w:spacing w:lineRule="auto" w:line="240" w:before="0" w:after="0"/>
        <w:rPr>
          <w:rFonts w:ascii="Arial" w:hAnsi="Arial" w:cs="Arial"/>
          <w:b/>
          <w:b/>
          <w:bCs/>
          <w:color w:val="5B5B5F"/>
          <w:sz w:val="26"/>
          <w:szCs w:val="26"/>
        </w:rPr>
      </w:pPr>
      <w:r>
        <w:rPr>
          <w:i w:val="false"/>
          <w:iCs w:val="false"/>
          <w:sz w:val="20"/>
          <w:szCs w:val="20"/>
        </w:rPr>
        <w:t xml:space="preserve">Comprovar a procedência legal dos produtos ou subprodutos florestais utilizados em cada etapa da execução contratual, nos termos do </w:t>
      </w:r>
      <w:hyperlink r:id="rId27">
        <w:r>
          <w:rPr>
            <w:rStyle w:val="LinkdaInternet"/>
            <w:i w:val="false"/>
            <w:iCs w:val="false"/>
            <w:sz w:val="20"/>
            <w:szCs w:val="20"/>
          </w:rPr>
          <w:t>artigo 4°, inciso IX, da Instrução Normativa SLTI/MP n° 1, de 19/01/2010</w:t>
        </w:r>
      </w:hyperlink>
      <w:r>
        <w:rPr>
          <w:i w:val="false"/>
          <w:iCs w:val="false"/>
          <w:sz w:val="20"/>
          <w:szCs w:val="20"/>
        </w:rPr>
        <w:t xml:space="preserve">, por ocasião da respectiva medição, mediante a apresentação dos seguintes documentos, conforme o caso: </w:t>
      </w:r>
    </w:p>
    <w:p>
      <w:pPr>
        <w:pStyle w:val="ListParagraph"/>
        <w:widowControl/>
        <w:numPr>
          <w:ilvl w:val="0"/>
          <w:numId w:val="0"/>
        </w:numPr>
        <w:tabs>
          <w:tab w:val="clear" w:pos="708"/>
          <w:tab w:val="left" w:pos="680" w:leader="none"/>
        </w:tabs>
        <w:suppressAutoHyphens w:val="true"/>
        <w:overflowPunct w:val="true"/>
        <w:bidi w:val="0"/>
        <w:spacing w:lineRule="auto" w:line="240" w:before="0" w:after="0"/>
        <w:ind w:left="567" w:right="0" w:hanging="0"/>
        <w:jc w:val="both"/>
        <w:rPr>
          <w:rFonts w:ascii="Arial" w:hAnsi="Arial" w:eastAsia="Calibri" w:cs="Arial"/>
          <w:i w:val="false"/>
          <w:i w:val="false"/>
          <w:iCs w:val="false"/>
          <w:sz w:val="20"/>
          <w:szCs w:val="20"/>
          <w:lang w:eastAsia="en-US"/>
        </w:rPr>
      </w:pPr>
      <w:r>
        <w:rPr>
          <w:rFonts w:eastAsia="Calibri" w:cs="Arial"/>
          <w:i w:val="false"/>
          <w:iCs w:val="false"/>
          <w:sz w:val="20"/>
          <w:szCs w:val="20"/>
          <w:lang w:eastAsia="en-US"/>
        </w:rPr>
        <w:t xml:space="preserve">a) Cópias autenticadas das notas fiscais de aquisição dos produtos ou subprodutos florestais; </w:t>
      </w:r>
    </w:p>
    <w:p>
      <w:pPr>
        <w:pStyle w:val="ListParagraph"/>
        <w:widowControl/>
        <w:numPr>
          <w:ilvl w:val="0"/>
          <w:numId w:val="0"/>
        </w:numPr>
        <w:tabs>
          <w:tab w:val="clear" w:pos="708"/>
          <w:tab w:val="left" w:pos="680" w:leader="none"/>
        </w:tabs>
        <w:suppressAutoHyphens w:val="true"/>
        <w:overflowPunct w:val="true"/>
        <w:bidi w:val="0"/>
        <w:spacing w:lineRule="auto" w:line="240" w:before="0" w:after="0"/>
        <w:ind w:left="567" w:right="0" w:hanging="0"/>
        <w:jc w:val="both"/>
        <w:rPr>
          <w:rFonts w:ascii="Arial" w:hAnsi="Arial" w:cs="Arial"/>
          <w:b/>
          <w:b/>
          <w:bCs/>
          <w:color w:val="5B5B5F"/>
          <w:sz w:val="26"/>
          <w:szCs w:val="26"/>
        </w:rPr>
      </w:pPr>
      <w:r>
        <w:rPr>
          <w:rFonts w:eastAsia="Calibri" w:cs="Arial"/>
          <w:i w:val="false"/>
          <w:iCs w:val="false"/>
          <w:sz w:val="20"/>
          <w:szCs w:val="20"/>
          <w:lang w:eastAsia="en-US"/>
        </w:rPr>
        <w:t xml:space="preserve">b) Cópia dos Comprovantes de Registro do fornecedor e do transportador dos produtos ou subprodutos florestais junto ao Cadastro Técnico Federal de Atividades Potencialmente Poluidoras ou Utilizadoras de Recursos Ambientais - CTF, mantido pelo IBAMA, quando tal inscrição for obrigatória, acompanhados dos respectivos Certificados de Regularidade válidos, conforme </w:t>
      </w:r>
      <w:r>
        <w:fldChar w:fldCharType="begin"/>
      </w:r>
      <w:r>
        <w:rPr>
          <w:rStyle w:val="LinkdaInternet"/>
          <w:sz w:val="20"/>
          <w:i w:val="false"/>
          <w:szCs w:val="20"/>
          <w:iCs w:val="false"/>
          <w:rFonts w:eastAsia="Calibri" w:cs="Arial"/>
          <w:lang w:eastAsia="en-US"/>
        </w:rPr>
        <w:instrText> HYPERLINK "https://www.planalto.gov.br/ccivil_03/leis/l6938.htm" \l "art17"</w:instrText>
      </w:r>
      <w:r>
        <w:rPr>
          <w:rStyle w:val="LinkdaInternet"/>
          <w:sz w:val="20"/>
          <w:i w:val="false"/>
          <w:szCs w:val="20"/>
          <w:iCs w:val="false"/>
          <w:rFonts w:eastAsia="Calibri" w:cs="Arial"/>
          <w:lang w:eastAsia="en-US"/>
        </w:rPr>
        <w:fldChar w:fldCharType="separate"/>
      </w:r>
      <w:r>
        <w:rPr>
          <w:rStyle w:val="LinkdaInternet"/>
          <w:rFonts w:eastAsia="Calibri" w:cs="Arial"/>
          <w:i w:val="false"/>
          <w:iCs w:val="false"/>
          <w:sz w:val="20"/>
          <w:szCs w:val="20"/>
          <w:lang w:eastAsia="en-US"/>
        </w:rPr>
        <w:t>artigo 17, inciso II, da Lei n° 6.938, de 1981</w:t>
      </w:r>
      <w:r>
        <w:rPr>
          <w:rStyle w:val="LinkdaInternet"/>
          <w:sz w:val="20"/>
          <w:i w:val="false"/>
          <w:szCs w:val="20"/>
          <w:iCs w:val="false"/>
          <w:rFonts w:eastAsia="Calibri" w:cs="Arial"/>
          <w:lang w:eastAsia="en-US"/>
        </w:rPr>
        <w:fldChar w:fldCharType="end"/>
      </w:r>
      <w:r>
        <w:rPr>
          <w:rFonts w:eastAsia="Calibri" w:cs="Arial"/>
          <w:i w:val="false"/>
          <w:iCs w:val="false"/>
          <w:sz w:val="20"/>
          <w:szCs w:val="20"/>
          <w:lang w:eastAsia="en-US"/>
        </w:rPr>
        <w:t>, e legislação correlata;</w:t>
      </w:r>
    </w:p>
    <w:p>
      <w:pPr>
        <w:pStyle w:val="ListParagraph"/>
        <w:widowControl/>
        <w:numPr>
          <w:ilvl w:val="0"/>
          <w:numId w:val="0"/>
        </w:numPr>
        <w:tabs>
          <w:tab w:val="clear" w:pos="708"/>
          <w:tab w:val="left" w:pos="680" w:leader="none"/>
        </w:tabs>
        <w:suppressAutoHyphens w:val="true"/>
        <w:overflowPunct w:val="true"/>
        <w:bidi w:val="0"/>
        <w:spacing w:lineRule="auto" w:line="240" w:before="0" w:after="0"/>
        <w:ind w:left="567" w:right="0" w:hanging="0"/>
        <w:jc w:val="both"/>
        <w:rPr>
          <w:rFonts w:ascii="Arial" w:hAnsi="Arial" w:cs="Arial"/>
          <w:b/>
          <w:b/>
          <w:bCs/>
          <w:color w:val="5B5B5F"/>
          <w:sz w:val="26"/>
          <w:szCs w:val="26"/>
        </w:rPr>
      </w:pPr>
      <w:r>
        <w:rPr>
          <w:rFonts w:eastAsia="Calibri" w:cs="Arial"/>
          <w:i w:val="false"/>
          <w:iCs w:val="false"/>
          <w:sz w:val="20"/>
          <w:szCs w:val="20"/>
          <w:lang w:eastAsia="en-US"/>
        </w:rPr>
        <w:t xml:space="preserve">c) Documento de Origem Florestal – DOF, instituído pela </w:t>
      </w:r>
      <w:hyperlink r:id="rId28">
        <w:r>
          <w:rPr>
            <w:rFonts w:cs="Arial"/>
            <w:i w:val="false"/>
            <w:iCs w:val="false"/>
            <w:sz w:val="20"/>
            <w:szCs w:val="20"/>
            <w:lang w:eastAsia="en-US"/>
          </w:rPr>
          <w:t>Portaria n° 253, de 18/08/2006</w:t>
        </w:r>
      </w:hyperlink>
      <w:r>
        <w:rPr>
          <w:rFonts w:eastAsia="Calibri" w:cs="Arial"/>
          <w:i w:val="false"/>
          <w:iCs w:val="false"/>
          <w:sz w:val="20"/>
          <w:szCs w:val="20"/>
          <w:lang w:eastAsia="en-US"/>
        </w:rPr>
        <w:t xml:space="preserve">, do Ministério do Meio Ambiente, e </w:t>
      </w:r>
      <w:hyperlink r:id="rId29">
        <w:r>
          <w:rPr>
            <w:rFonts w:cs="Arial"/>
            <w:i w:val="false"/>
            <w:iCs w:val="false"/>
            <w:sz w:val="20"/>
            <w:szCs w:val="20"/>
            <w:lang w:eastAsia="en-US"/>
          </w:rPr>
          <w:t>Instrução Normativa IBAMA n° 21, de 24/12/2014</w:t>
        </w:r>
      </w:hyperlink>
      <w:r>
        <w:rPr>
          <w:rFonts w:eastAsia="Calibri" w:cs="Arial"/>
          <w:i w:val="false"/>
          <w:iCs w:val="false"/>
          <w:sz w:val="20"/>
          <w:szCs w:val="20"/>
          <w:lang w:eastAsia="en-US"/>
        </w:rPr>
        <w:t>, quando se tratar de produtos ou subprodutos florestais de origem nativa cujo transporte e armazenamento exijam a emissão de tal licença obrigatória; e</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i w:val="false"/>
          <w:i w:val="false"/>
          <w:iCs w:val="false"/>
          <w:sz w:val="20"/>
          <w:szCs w:val="20"/>
          <w:lang w:eastAsia="en-US"/>
        </w:rPr>
      </w:pPr>
      <w:r>
        <w:rPr>
          <w:i w:val="false"/>
          <w:iCs w:val="false"/>
          <w:sz w:val="20"/>
          <w:szCs w:val="20"/>
          <w:lang w:eastAsia="en-US"/>
        </w:rPr>
        <w:t>Caso os produtos ou subprodutos florestais utilizados na execução contratual tenham origem em Estado que possua documento de controle próprio, o Contratado deverá apresentá-lo, em complementação ao DOF, a fim de demonstrar a regularidade do transporte e armazenamento nos limites do território estadual.</w:t>
      </w:r>
    </w:p>
    <w:p>
      <w:pPr>
        <w:pStyle w:val="Nivel2"/>
        <w:numPr>
          <w:ilvl w:val="1"/>
          <w:numId w:val="1"/>
        </w:numPr>
        <w:spacing w:lineRule="auto" w:line="240" w:before="0" w:after="0"/>
        <w:rPr>
          <w:rFonts w:ascii="Arial" w:hAnsi="Arial" w:cs="Arial"/>
          <w:b/>
          <w:b/>
          <w:bCs/>
          <w:color w:val="5B5B5F"/>
          <w:sz w:val="26"/>
          <w:szCs w:val="26"/>
        </w:rPr>
      </w:pPr>
      <w:r>
        <w:rPr>
          <w:i w:val="false"/>
          <w:iCs w:val="false"/>
          <w:sz w:val="20"/>
          <w:szCs w:val="20"/>
          <w:lang w:eastAsia="en-US"/>
        </w:rPr>
        <w:t xml:space="preserve">Observar as </w:t>
      </w:r>
      <w:r>
        <w:rPr>
          <w:i w:val="false"/>
          <w:iCs w:val="false"/>
          <w:sz w:val="20"/>
          <w:szCs w:val="20"/>
        </w:rPr>
        <w:t>diretrizes</w:t>
      </w:r>
      <w:r>
        <w:rPr>
          <w:i w:val="false"/>
          <w:iCs w:val="false"/>
          <w:sz w:val="20"/>
          <w:szCs w:val="20"/>
          <w:lang w:eastAsia="en-US"/>
        </w:rPr>
        <w:t xml:space="preserve">, critérios e procedimentos para a gestão dos resíduos da construção civil </w:t>
      </w:r>
      <w:r>
        <w:rPr>
          <w:i w:val="false"/>
          <w:iCs w:val="false"/>
          <w:sz w:val="20"/>
          <w:szCs w:val="20"/>
        </w:rPr>
        <w:t>estabelecidos</w:t>
      </w:r>
      <w:r>
        <w:rPr>
          <w:i w:val="false"/>
          <w:iCs w:val="false"/>
          <w:sz w:val="20"/>
          <w:szCs w:val="20"/>
          <w:lang w:eastAsia="en-US"/>
        </w:rPr>
        <w:t xml:space="preserve"> na Resolução nº 307, de 05/07/2002, com as alterações posteriores, do Conselho Nacional de Meio Ambiente - CONAMA, conforme </w:t>
      </w:r>
      <w:r>
        <w:fldChar w:fldCharType="begin"/>
      </w:r>
      <w:r>
        <w:rPr>
          <w:rStyle w:val="LinkdaInternet"/>
          <w:sz w:val="20"/>
          <w:i w:val="false"/>
          <w:szCs w:val="20"/>
          <w:iCs w:val="false"/>
          <w:rFonts w:eastAsia="Calibri"/>
          <w:lang w:eastAsia="en-US"/>
        </w:rPr>
        <w:instrText> HYPERLINK "https://www.gov.br/compras/pt-br/acesso-a-informacao/legislacao/instrucoes-normativas/instrucao-normativa-no-01-de-19-de-janeiro-de-2010" \l "art4§2"</w:instrText>
      </w:r>
      <w:r>
        <w:rPr>
          <w:rStyle w:val="LinkdaInternet"/>
          <w:sz w:val="20"/>
          <w:i w:val="false"/>
          <w:szCs w:val="20"/>
          <w:iCs w:val="false"/>
          <w:rFonts w:eastAsia="Calibri"/>
          <w:lang w:eastAsia="en-US"/>
        </w:rPr>
        <w:fldChar w:fldCharType="separate"/>
      </w:r>
      <w:r>
        <w:rPr>
          <w:rStyle w:val="LinkdaInternet"/>
          <w:rFonts w:eastAsia="Calibri"/>
          <w:i w:val="false"/>
          <w:iCs w:val="false"/>
          <w:sz w:val="20"/>
          <w:szCs w:val="20"/>
          <w:lang w:eastAsia="en-US"/>
        </w:rPr>
        <w:t>artigo 4°, §§ 2° e 3°, da Instrução Normativa SLTI/MP n° 1, de 19/01/2010</w:t>
      </w:r>
      <w:r>
        <w:rPr>
          <w:rStyle w:val="LinkdaInternet"/>
          <w:sz w:val="20"/>
          <w:i w:val="false"/>
          <w:szCs w:val="20"/>
          <w:iCs w:val="false"/>
          <w:rFonts w:eastAsia="Calibri"/>
          <w:lang w:eastAsia="en-US"/>
        </w:rPr>
        <w:fldChar w:fldCharType="end"/>
      </w:r>
      <w:r>
        <w:rPr>
          <w:i w:val="false"/>
          <w:iCs w:val="false"/>
          <w:sz w:val="20"/>
          <w:szCs w:val="20"/>
          <w:lang w:eastAsia="en-US"/>
        </w:rPr>
        <w:t>, nos seguintes termos:</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i w:val="false"/>
          <w:i w:val="false"/>
          <w:iCs w:val="false"/>
          <w:sz w:val="20"/>
          <w:szCs w:val="20"/>
          <w:lang w:eastAsia="en-US"/>
        </w:rPr>
      </w:pPr>
      <w:r>
        <w:rPr>
          <w:i w:val="false"/>
          <w:iCs w:val="false"/>
          <w:sz w:val="20"/>
          <w:szCs w:val="20"/>
          <w:lang w:eastAsia="en-US"/>
        </w:rPr>
        <w:t>O gerenciamento dos resíduos originários da contratação deverá obedecer às diretrizes técnicas e procedimentos do Programa Municipal de Gerenciamento de Resíduos da Construção Civil, ou do Projeto de Gerenciamento de Resíduos da Construção Civil apresentado ao órgão competente, conforme o caso.</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i w:val="false"/>
          <w:iCs w:val="false"/>
          <w:sz w:val="20"/>
          <w:szCs w:val="20"/>
          <w:lang w:eastAsia="en-US"/>
        </w:rPr>
        <w:t xml:space="preserve">Nos termos dos </w:t>
      </w:r>
      <w:hyperlink r:id="rId30">
        <w:r>
          <w:rPr>
            <w:rStyle w:val="LinkdaInternet"/>
            <w:rFonts w:eastAsia="Calibri"/>
            <w:i w:val="false"/>
            <w:iCs w:val="false"/>
            <w:sz w:val="20"/>
            <w:szCs w:val="20"/>
            <w:lang w:eastAsia="en-US"/>
          </w:rPr>
          <w:t>artigos 3° e 10° da Resolução CONAMA n° 307, de 05/07/2002</w:t>
        </w:r>
      </w:hyperlink>
      <w:r>
        <w:rPr>
          <w:i w:val="false"/>
          <w:iCs w:val="false"/>
          <w:sz w:val="20"/>
          <w:szCs w:val="20"/>
          <w:lang w:eastAsia="en-US"/>
        </w:rPr>
        <w:t>, o Contratado deverá providenciar a destinação ambientalmente adequada dos resíduos da construção civil originários da contratação, obedecendo, no que couber, aos seguintes procedimentos:</w:t>
      </w:r>
    </w:p>
    <w:p>
      <w:pPr>
        <w:pStyle w:val="Nivel4"/>
        <w:widowControl/>
        <w:numPr>
          <w:ilvl w:val="3"/>
          <w:numId w:val="1"/>
        </w:numPr>
        <w:suppressAutoHyphens w:val="true"/>
        <w:overflowPunct w:val="true"/>
        <w:bidi w:val="0"/>
        <w:spacing w:lineRule="auto" w:line="240" w:before="0" w:after="0"/>
        <w:ind w:left="0" w:right="0" w:firstLine="1134"/>
        <w:jc w:val="both"/>
        <w:rPr>
          <w:rFonts w:ascii="Arial" w:hAnsi="Arial"/>
          <w:i w:val="false"/>
          <w:i w:val="false"/>
          <w:iCs w:val="false"/>
          <w:sz w:val="20"/>
          <w:szCs w:val="20"/>
          <w:lang w:eastAsia="en-US"/>
        </w:rPr>
      </w:pPr>
      <w:r>
        <w:rPr>
          <w:i w:val="false"/>
          <w:iCs w:val="false"/>
          <w:sz w:val="20"/>
          <w:szCs w:val="20"/>
          <w:lang w:eastAsia="en-US"/>
        </w:rPr>
        <w:t xml:space="preserve">resíduos Classe A (reutilizáveis ou recicláveis como agregados): deverão ser reutilizados ou reciclados na forma de agregados, ou encaminhados a aterros de resíduos classe A de preservação de material para usos futuros. </w:t>
      </w:r>
    </w:p>
    <w:p>
      <w:pPr>
        <w:pStyle w:val="Nivel4"/>
        <w:widowControl/>
        <w:numPr>
          <w:ilvl w:val="3"/>
          <w:numId w:val="1"/>
        </w:numPr>
        <w:suppressAutoHyphens w:val="true"/>
        <w:overflowPunct w:val="true"/>
        <w:bidi w:val="0"/>
        <w:spacing w:lineRule="auto" w:line="240" w:before="0" w:after="0"/>
        <w:ind w:left="0" w:right="0" w:firstLine="1134"/>
        <w:jc w:val="both"/>
        <w:rPr>
          <w:rFonts w:ascii="Arial" w:hAnsi="Arial"/>
          <w:i w:val="false"/>
          <w:i w:val="false"/>
          <w:iCs w:val="false"/>
          <w:sz w:val="20"/>
          <w:szCs w:val="20"/>
          <w:lang w:eastAsia="en-US"/>
        </w:rPr>
      </w:pPr>
      <w:r>
        <w:rPr>
          <w:i w:val="false"/>
          <w:iCs w:val="false"/>
          <w:sz w:val="20"/>
          <w:szCs w:val="20"/>
          <w:lang w:eastAsia="en-US"/>
        </w:rPr>
        <w:t>resíduos Classe B (recicláveis para outras destinações): deverão ser reutilizados, reciclados ou encaminhados a áreas de armazenamento temporário, sendo dispostos de modo a permitir a sua utilização ou reciclagem futura.</w:t>
      </w:r>
    </w:p>
    <w:p>
      <w:pPr>
        <w:pStyle w:val="Nivel4"/>
        <w:widowControl/>
        <w:numPr>
          <w:ilvl w:val="3"/>
          <w:numId w:val="1"/>
        </w:numPr>
        <w:suppressAutoHyphens w:val="true"/>
        <w:overflowPunct w:val="true"/>
        <w:bidi w:val="0"/>
        <w:spacing w:lineRule="auto" w:line="240" w:before="0" w:after="0"/>
        <w:ind w:left="0" w:right="0" w:firstLine="1134"/>
        <w:jc w:val="both"/>
        <w:rPr>
          <w:rFonts w:ascii="Arial" w:hAnsi="Arial"/>
          <w:i w:val="false"/>
          <w:i w:val="false"/>
          <w:iCs w:val="false"/>
          <w:sz w:val="20"/>
          <w:szCs w:val="20"/>
          <w:lang w:eastAsia="en-US"/>
        </w:rPr>
      </w:pPr>
      <w:r>
        <w:rPr>
          <w:i w:val="false"/>
          <w:iCs w:val="false"/>
          <w:sz w:val="20"/>
          <w:szCs w:val="20"/>
          <w:lang w:eastAsia="en-US"/>
        </w:rPr>
        <w:t>resíduos Classe C (para os quais não foram desenvolvidas tecnologias ou aplicações economicamente viáveis que permitam a sua reciclagem/recuperação): deverão ser armazenados, transportados e destinados em conformidade com as normas técnicas específicas.</w:t>
      </w:r>
    </w:p>
    <w:p>
      <w:pPr>
        <w:pStyle w:val="Nivel4"/>
        <w:widowControl/>
        <w:numPr>
          <w:ilvl w:val="3"/>
          <w:numId w:val="1"/>
        </w:numPr>
        <w:suppressAutoHyphens w:val="true"/>
        <w:overflowPunct w:val="true"/>
        <w:bidi w:val="0"/>
        <w:spacing w:lineRule="auto" w:line="240" w:before="0" w:after="0"/>
        <w:ind w:left="0" w:right="0" w:firstLine="1134"/>
        <w:jc w:val="both"/>
        <w:rPr>
          <w:rFonts w:ascii="Arial" w:hAnsi="Arial"/>
          <w:i w:val="false"/>
          <w:i w:val="false"/>
          <w:iCs w:val="false"/>
          <w:sz w:val="20"/>
          <w:szCs w:val="20"/>
          <w:lang w:eastAsia="en-US"/>
        </w:rPr>
      </w:pPr>
      <w:r>
        <w:rPr>
          <w:i w:val="false"/>
          <w:iCs w:val="false"/>
          <w:sz w:val="20"/>
          <w:szCs w:val="20"/>
          <w:lang w:eastAsia="en-US"/>
        </w:rPr>
        <w:t>resíduos Classe D (perigosos, contaminados ou prejudiciais à saúde): deverão ser armazenados, transportados, reutilizados e destinados em conformidade com as normas técnicas específicas.</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i w:val="false"/>
          <w:i w:val="false"/>
          <w:iCs w:val="false"/>
          <w:sz w:val="20"/>
          <w:szCs w:val="20"/>
          <w:lang w:eastAsia="en-US"/>
        </w:rPr>
      </w:pPr>
      <w:r>
        <w:rPr>
          <w:i w:val="false"/>
          <w:iCs w:val="false"/>
          <w:sz w:val="20"/>
          <w:szCs w:val="20"/>
          <w:lang w:eastAsia="en-US"/>
        </w:rPr>
        <w:t>Em nenhuma hipótese o Contratado poderá dispor os resíduos originários da contratação em aterros de resíduos sólidos urbanos, áreas de “bota fora”, encostas, corpos d´água, lotes vagos e áreas protegidas por Lei, bem como em áreas não licenciadas.</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i w:val="false"/>
          <w:i w:val="false"/>
          <w:iCs w:val="false"/>
          <w:sz w:val="20"/>
          <w:szCs w:val="20"/>
          <w:lang w:eastAsia="en-US"/>
        </w:rPr>
      </w:pPr>
      <w:r>
        <w:rPr>
          <w:i w:val="false"/>
          <w:iCs w:val="false"/>
          <w:sz w:val="20"/>
          <w:szCs w:val="20"/>
          <w:lang w:eastAsia="en-US"/>
        </w:rPr>
        <w:t>Para fins de fiscalização do fiel cumprimento do Programa Municipal de Gerenciamento de Resíduos da Construção Civil, ou do Projeto de Gerenciamento de Resíduos da Construção Civil, conforme o caso, o Contratado comprovará, sob pena de multa, que todos os resíduos removidos estão acompanhados de Controle de Transporte de Resíduos, em conformidade com as normas da Agência Brasileira de Normas Técnicas - ABNT, ABNT NBR ns. 15.112, 15.113, 15.114, 15.115 e 15.116, de 2004.</w:t>
      </w:r>
    </w:p>
    <w:p>
      <w:pPr>
        <w:pStyle w:val="Nivel2"/>
        <w:numPr>
          <w:ilvl w:val="1"/>
          <w:numId w:val="1"/>
        </w:numPr>
        <w:spacing w:lineRule="auto" w:line="240" w:before="0" w:after="0"/>
        <w:rPr>
          <w:rFonts w:ascii="Arial" w:hAnsi="Arial"/>
          <w:sz w:val="20"/>
          <w:szCs w:val="20"/>
        </w:rPr>
      </w:pPr>
      <w:r>
        <w:rPr>
          <w:i w:val="false"/>
          <w:iCs w:val="false"/>
          <w:sz w:val="20"/>
          <w:szCs w:val="20"/>
          <w:lang w:eastAsia="en-US"/>
        </w:rPr>
        <w:t xml:space="preserve">Observar as </w:t>
      </w:r>
      <w:r>
        <w:rPr>
          <w:i w:val="false"/>
          <w:iCs w:val="false"/>
          <w:sz w:val="20"/>
          <w:szCs w:val="20"/>
        </w:rPr>
        <w:t>seguintes</w:t>
      </w:r>
      <w:r>
        <w:rPr>
          <w:i w:val="false"/>
          <w:iCs w:val="false"/>
          <w:sz w:val="20"/>
          <w:szCs w:val="20"/>
          <w:lang w:eastAsia="en-US"/>
        </w:rPr>
        <w:t xml:space="preserve"> diretrizes de caráter ambiental:</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i w:val="false"/>
          <w:iCs w:val="false"/>
          <w:sz w:val="20"/>
          <w:szCs w:val="20"/>
          <w:lang w:eastAsia="en-US"/>
        </w:rPr>
        <w:t>Qualquer</w:t>
      </w:r>
      <w:r>
        <w:rPr>
          <w:i w:val="false"/>
          <w:iCs w:val="false"/>
          <w:sz w:val="20"/>
          <w:szCs w:val="20"/>
        </w:rPr>
        <w:t xml:space="preserve"> instalação, equipamento ou processo, situado em local fixo, que</w:t>
      </w:r>
      <w:r>
        <w:rPr>
          <w:i w:val="false"/>
          <w:iCs w:val="false"/>
          <w:sz w:val="20"/>
          <w:szCs w:val="20"/>
          <w:lang w:eastAsia="en-US"/>
        </w:rPr>
        <w:t xml:space="preserve"> </w:t>
      </w:r>
      <w:r>
        <w:rPr>
          <w:i w:val="false"/>
          <w:iCs w:val="false"/>
          <w:sz w:val="20"/>
          <w:szCs w:val="20"/>
        </w:rPr>
        <w:t>libere</w:t>
      </w:r>
      <w:r>
        <w:rPr>
          <w:i w:val="false"/>
          <w:iCs w:val="false"/>
          <w:sz w:val="20"/>
          <w:szCs w:val="20"/>
          <w:lang w:eastAsia="en-US"/>
        </w:rPr>
        <w:t xml:space="preserve"> ou emita matéria para a atmosfera, por emissão pontual ou fugitiva, </w:t>
      </w:r>
      <w:r>
        <w:rPr>
          <w:i w:val="false"/>
          <w:iCs w:val="false"/>
          <w:sz w:val="20"/>
          <w:szCs w:val="20"/>
        </w:rPr>
        <w:t>utilizado</w:t>
      </w:r>
      <w:r>
        <w:rPr>
          <w:i w:val="false"/>
          <w:iCs w:val="false"/>
          <w:sz w:val="20"/>
          <w:szCs w:val="20"/>
          <w:lang w:eastAsia="en-US"/>
        </w:rPr>
        <w:t xml:space="preserve"> na execução contratual, deverá respeitar os limites máximos de emissão de poluentes admitidos na </w:t>
      </w:r>
      <w:hyperlink r:id="rId31">
        <w:r>
          <w:rPr>
            <w:rStyle w:val="LinkdaInternet"/>
            <w:rFonts w:eastAsia="Calibri"/>
            <w:i w:val="false"/>
            <w:iCs w:val="false"/>
            <w:sz w:val="20"/>
            <w:szCs w:val="20"/>
            <w:lang w:eastAsia="en-US"/>
          </w:rPr>
          <w:t>Resolução CONAMA n° 382, de 26/12/2006</w:t>
        </w:r>
      </w:hyperlink>
      <w:r>
        <w:rPr>
          <w:i w:val="false"/>
          <w:iCs w:val="false"/>
          <w:sz w:val="20"/>
          <w:szCs w:val="20"/>
          <w:lang w:eastAsia="en-US"/>
        </w:rPr>
        <w:t>, e legislação correlata, de acordo com o poluente e o tipo de fonte.</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i w:val="false"/>
          <w:iCs w:val="false"/>
          <w:sz w:val="20"/>
          <w:szCs w:val="20"/>
          <w:lang w:eastAsia="en-US"/>
        </w:rPr>
        <w:t xml:space="preserve">Na execução contratual, conforme o caso, a emissão de ruídos não poderá ultrapassar os níveis </w:t>
      </w:r>
      <w:r>
        <w:rPr>
          <w:i w:val="false"/>
          <w:iCs w:val="false"/>
          <w:sz w:val="20"/>
          <w:szCs w:val="20"/>
        </w:rPr>
        <w:t>considerados</w:t>
      </w:r>
      <w:r>
        <w:rPr>
          <w:i w:val="false"/>
          <w:iCs w:val="false"/>
          <w:sz w:val="20"/>
          <w:szCs w:val="20"/>
          <w:lang w:eastAsia="en-US"/>
        </w:rPr>
        <w:t xml:space="preserve"> aceitáveis pela Norma NBR-10.151 - Avaliação do Ruído em Áreas Habitadas visando o conforto da comunidade, da Associação Brasileira de Normas Técnicas - ABNT, ou aqueles estabelecidos na NBR-10.152 - Níveis de Ruído para conforto acústico, da Associação Brasileira de Normas Técnicas - ABNT, nos termos da </w:t>
      </w:r>
      <w:hyperlink r:id="rId32">
        <w:r>
          <w:rPr>
            <w:rStyle w:val="LinkdaInternet"/>
            <w:i w:val="false"/>
            <w:iCs w:val="false"/>
            <w:sz w:val="20"/>
            <w:szCs w:val="20"/>
          </w:rPr>
          <w:t>Resolução CONAMA n° 01, de 08/03/90</w:t>
        </w:r>
      </w:hyperlink>
      <w:r>
        <w:rPr>
          <w:i w:val="false"/>
          <w:iCs w:val="false"/>
          <w:sz w:val="20"/>
          <w:szCs w:val="20"/>
          <w:lang w:eastAsia="en-US"/>
        </w:rPr>
        <w:t>, e legislação correlata.</w:t>
      </w:r>
    </w:p>
    <w:p>
      <w:pPr>
        <w:pStyle w:val="Nivel2"/>
        <w:numPr>
          <w:ilvl w:val="1"/>
          <w:numId w:val="1"/>
        </w:numPr>
        <w:spacing w:lineRule="auto" w:line="240" w:before="0" w:after="0"/>
        <w:rPr>
          <w:rFonts w:ascii="Arial" w:hAnsi="Arial" w:cs="Arial"/>
          <w:b/>
          <w:b/>
          <w:bCs/>
          <w:color w:val="5B5B5F"/>
          <w:sz w:val="26"/>
          <w:szCs w:val="26"/>
        </w:rPr>
      </w:pPr>
      <w:r>
        <w:rPr>
          <w:i w:val="false"/>
          <w:iCs w:val="false"/>
          <w:sz w:val="20"/>
          <w:szCs w:val="20"/>
        </w:rPr>
        <w:t xml:space="preserve">Nos termos do </w:t>
      </w:r>
      <w:hyperlink r:id="rId33">
        <w:r>
          <w:rPr>
            <w:rStyle w:val="LinkdaInternet"/>
            <w:i w:val="false"/>
            <w:iCs w:val="false"/>
            <w:sz w:val="20"/>
            <w:szCs w:val="20"/>
          </w:rPr>
          <w:t>artigo 4°, § 3°, da Instrução Normativa SLTI/MP n° 1, de 19/01/2010</w:t>
        </w:r>
      </w:hyperlink>
      <w:r>
        <w:rPr>
          <w:i w:val="false"/>
          <w:iCs w:val="false"/>
          <w:sz w:val="20"/>
          <w:szCs w:val="20"/>
        </w:rPr>
        <w:t>, deverão ser utilizados, na execução contratual, agregados reciclados, sempre que existir a oferta de tais materiais, capacidade de suprimento e custo inferior em relação aos agregados naturais, inserindo-se na planilha de formação de preços os custos correspondentes.</w:t>
      </w:r>
    </w:p>
    <w:p>
      <w:pPr>
        <w:pStyle w:val="Nivel2"/>
        <w:numPr>
          <w:ilvl w:val="1"/>
          <w:numId w:val="1"/>
        </w:numPr>
        <w:spacing w:lineRule="auto" w:line="240" w:before="0" w:after="0"/>
        <w:rPr>
          <w:rFonts w:ascii="Arial" w:hAnsi="Arial"/>
          <w:i w:val="false"/>
          <w:i w:val="false"/>
          <w:iCs w:val="false"/>
          <w:sz w:val="20"/>
          <w:szCs w:val="20"/>
        </w:rPr>
      </w:pPr>
      <w:r>
        <w:rPr>
          <w:i w:val="false"/>
          <w:iCs w:val="false"/>
          <w:sz w:val="20"/>
          <w:szCs w:val="20"/>
        </w:rPr>
        <w:t>Responder por qualquer acidente de trabalho na execução dos serviços, por uso indevido de patentes registradas em nome de terceiros, por danos resultantes de defeitos ou incorreções dos serviços ou dos bens do Contratante, de seus funcionários ou de terceiros, ainda que ocorridos em via pública junto ao serviço de engenharia.</w:t>
      </w:r>
    </w:p>
    <w:p>
      <w:pPr>
        <w:pStyle w:val="Nivel2"/>
        <w:numPr>
          <w:ilvl w:val="1"/>
          <w:numId w:val="1"/>
        </w:numPr>
        <w:spacing w:lineRule="auto" w:line="240" w:before="0" w:after="0"/>
        <w:rPr>
          <w:rFonts w:ascii="Arial" w:hAnsi="Arial"/>
          <w:i w:val="false"/>
          <w:i w:val="false"/>
          <w:iCs w:val="false"/>
          <w:sz w:val="20"/>
          <w:szCs w:val="20"/>
        </w:rPr>
      </w:pPr>
      <w:r>
        <w:rPr>
          <w:i w:val="false"/>
          <w:iCs w:val="false"/>
          <w:sz w:val="20"/>
          <w:szCs w:val="20"/>
        </w:rPr>
        <w:t>Realizar, conforme o caso, por meio de laboratórios previamente aprovados pela fiscalização e sob suas custas, os testes, ensaios, exames e provas que lhe caibam necessárias ao controle de qualidade dos materiais, serviços e equipamentos a serem aplicados nos trabalhos, conforme procedimento previsto nas especificações.</w:t>
      </w:r>
    </w:p>
    <w:p>
      <w:pPr>
        <w:pStyle w:val="Nivel2"/>
        <w:numPr>
          <w:ilvl w:val="1"/>
          <w:numId w:val="1"/>
        </w:numPr>
        <w:spacing w:lineRule="auto" w:line="240" w:before="0" w:after="0"/>
        <w:rPr>
          <w:rFonts w:ascii="Arial" w:hAnsi="Arial"/>
          <w:i w:val="false"/>
          <w:i w:val="false"/>
          <w:iCs w:val="false"/>
          <w:sz w:val="20"/>
          <w:szCs w:val="20"/>
        </w:rPr>
      </w:pPr>
      <w:r>
        <w:rPr>
          <w:i w:val="false"/>
          <w:iCs w:val="false"/>
          <w:sz w:val="20"/>
          <w:szCs w:val="20"/>
        </w:rPr>
        <w:t>Providenciar, conforme o caso, as ligações definitivas das utilidades previstas no projeto (água, esgoto, gás, energia elétrica, telefone etc.), bem como atuar junto aos órgãos federais, estaduais e municipais e concessionárias de serviços públicos para a obtenção de licenças e regularização dos serviços e atividades concluídas (ex.: Habite-se, Licença Ambiental de Operação etc.).</w:t>
      </w:r>
    </w:p>
    <w:p>
      <w:pPr>
        <w:pStyle w:val="Nivel2"/>
        <w:numPr>
          <w:ilvl w:val="0"/>
          <w:numId w:val="0"/>
        </w:numPr>
        <w:spacing w:lineRule="auto" w:line="240" w:before="0" w:after="0"/>
        <w:ind w:left="0" w:right="0" w:hanging="0"/>
        <w:rPr>
          <w:rFonts w:ascii="Arial" w:hAnsi="Arial"/>
          <w:i w:val="false"/>
          <w:i w:val="false"/>
          <w:iCs w:val="false"/>
          <w:sz w:val="20"/>
          <w:szCs w:val="20"/>
        </w:rPr>
      </w:pPr>
      <w:r>
        <w:rPr>
          <w:i w:val="false"/>
          <w:iCs w:val="false"/>
          <w:sz w:val="20"/>
          <w:szCs w:val="20"/>
        </w:rPr>
      </w:r>
    </w:p>
    <w:p>
      <w:pPr>
        <w:pStyle w:val="Nivel01"/>
        <w:numPr>
          <w:ilvl w:val="0"/>
          <w:numId w:val="1"/>
        </w:numPr>
        <w:spacing w:lineRule="auto" w:line="240" w:before="0" w:after="0"/>
        <w:rPr>
          <w:rFonts w:ascii="Arial" w:hAnsi="Arial"/>
          <w:sz w:val="20"/>
          <w:szCs w:val="20"/>
        </w:rPr>
      </w:pPr>
      <w:commentRangeStart w:id="38"/>
      <w:r>
        <w:rPr>
          <w:i w:val="false"/>
          <w:iCs w:val="false"/>
          <w:color w:val="000000"/>
          <w:sz w:val="20"/>
          <w:szCs w:val="20"/>
        </w:rPr>
        <w:t>CLÁUSULA DÉCIMA- OBRIGAÇÕES PERTINENTES À LGPD</w:t>
      </w:r>
      <w:commentRangeEnd w:id="38"/>
      <w:r>
        <w:commentReference w:id="38"/>
      </w:r>
      <w:r>
        <w:rPr>
          <w:i w:val="false"/>
          <w:iCs w:val="false"/>
          <w:color w:val="000000"/>
          <w:sz w:val="20"/>
          <w:szCs w:val="20"/>
        </w:rPr>
      </w:r>
    </w:p>
    <w:p>
      <w:pPr>
        <w:pStyle w:val="Nvel2Red"/>
        <w:numPr>
          <w:ilvl w:val="1"/>
          <w:numId w:val="1"/>
        </w:numPr>
        <w:spacing w:lineRule="auto" w:line="240" w:before="0" w:after="0"/>
        <w:rPr>
          <w:rFonts w:ascii="Arial" w:hAnsi="Arial" w:cs="Arial"/>
          <w:b/>
          <w:b/>
          <w:bCs/>
          <w:color w:val="5B5B5F"/>
          <w:sz w:val="26"/>
          <w:szCs w:val="26"/>
        </w:rPr>
      </w:pPr>
      <w:r>
        <w:rPr>
          <w:i w:val="false"/>
          <w:iCs w:val="false"/>
          <w:color w:val="000000"/>
          <w:sz w:val="20"/>
          <w:szCs w:val="20"/>
        </w:rPr>
        <w:t xml:space="preserve">As partes deverão cumprir a </w:t>
      </w:r>
      <w:hyperlink r:id="rId34">
        <w:r>
          <w:rPr>
            <w:rStyle w:val="LinkdaInternet"/>
            <w:i w:val="false"/>
            <w:iCs w:val="false"/>
            <w:color w:val="000000"/>
            <w:sz w:val="20"/>
            <w:szCs w:val="20"/>
          </w:rPr>
          <w:t>Lei nº 13.709, de 14 de agosto de 2018 (LGPD)</w:t>
        </w:r>
      </w:hyperlink>
      <w:r>
        <w:rPr>
          <w:i w:val="false"/>
          <w:iCs w:val="false"/>
          <w:color w:val="000000"/>
          <w:sz w:val="20"/>
          <w:szCs w:val="20"/>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pPr>
        <w:pStyle w:val="Nvel2Red"/>
        <w:numPr>
          <w:ilvl w:val="1"/>
          <w:numId w:val="1"/>
        </w:numPr>
        <w:spacing w:lineRule="auto" w:line="240" w:before="0" w:after="0"/>
        <w:rPr>
          <w:rFonts w:ascii="Arial" w:hAnsi="Arial" w:cs="Arial"/>
          <w:b/>
          <w:b/>
          <w:bCs/>
          <w:color w:val="5B5B5F"/>
          <w:sz w:val="26"/>
          <w:szCs w:val="26"/>
        </w:rPr>
      </w:pPr>
      <w:r>
        <w:rPr>
          <w:i w:val="false"/>
          <w:iCs w:val="false"/>
          <w:color w:val="000000"/>
          <w:sz w:val="20"/>
          <w:szCs w:val="20"/>
        </w:rPr>
        <w:t xml:space="preserve">Os dados obtidos somente poderão ser utilizados para as finalidades que justificaram seu acesso e de acordo com a boa-fé e com os princípios do </w:t>
      </w:r>
      <w:r>
        <w:fldChar w:fldCharType="begin"/>
      </w:r>
      <w:r>
        <w:rPr>
          <w:rStyle w:val="LinkdaInternet"/>
          <w:sz w:val="20"/>
          <w:i w:val="false"/>
          <w:szCs w:val="20"/>
          <w:iCs w:val="false"/>
          <w:color w:val="000000"/>
        </w:rPr>
        <w:instrText> HYPERLINK "https://www.planalto.gov.br/ccivil_03/_ato2015-2018/2018/lei/l13709.htm" \l "art6"</w:instrText>
      </w:r>
      <w:r>
        <w:rPr>
          <w:rStyle w:val="LinkdaInternet"/>
          <w:sz w:val="20"/>
          <w:i w:val="false"/>
          <w:szCs w:val="20"/>
          <w:iCs w:val="false"/>
          <w:color w:val="000000"/>
        </w:rPr>
        <w:fldChar w:fldCharType="separate"/>
      </w:r>
      <w:r>
        <w:rPr>
          <w:rStyle w:val="LinkdaInternet"/>
          <w:i w:val="false"/>
          <w:iCs w:val="false"/>
          <w:color w:val="000000"/>
          <w:sz w:val="20"/>
          <w:szCs w:val="20"/>
        </w:rPr>
        <w:t>art. 6º da LGPD</w:t>
      </w:r>
      <w:r>
        <w:rPr>
          <w:rStyle w:val="LinkdaInternet"/>
          <w:sz w:val="20"/>
          <w:i w:val="false"/>
          <w:szCs w:val="20"/>
          <w:iCs w:val="false"/>
          <w:color w:val="000000"/>
        </w:rPr>
        <w:fldChar w:fldCharType="end"/>
      </w:r>
      <w:r>
        <w:rPr>
          <w:i w:val="false"/>
          <w:iCs w:val="false"/>
          <w:color w:val="000000"/>
          <w:sz w:val="20"/>
          <w:szCs w:val="20"/>
        </w:rPr>
        <w:t xml:space="preserve">. </w:t>
      </w:r>
    </w:p>
    <w:p>
      <w:pPr>
        <w:pStyle w:val="Nvel2Red"/>
        <w:numPr>
          <w:ilvl w:val="1"/>
          <w:numId w:val="1"/>
        </w:numPr>
        <w:spacing w:lineRule="auto" w:line="240" w:before="0" w:after="0"/>
        <w:rPr>
          <w:rFonts w:ascii="Arial" w:hAnsi="Arial"/>
          <w:i w:val="false"/>
          <w:i w:val="false"/>
          <w:iCs w:val="false"/>
          <w:color w:val="000000"/>
          <w:sz w:val="20"/>
          <w:szCs w:val="20"/>
        </w:rPr>
      </w:pPr>
      <w:r>
        <w:rPr>
          <w:i w:val="false"/>
          <w:iCs w:val="false"/>
          <w:color w:val="000000"/>
          <w:sz w:val="20"/>
          <w:szCs w:val="20"/>
        </w:rPr>
        <w:t>É vedado o compartilhamento com terceiros dos dados obtidos fora das hipóteses permitidas em Lei.</w:t>
      </w:r>
    </w:p>
    <w:p>
      <w:pPr>
        <w:pStyle w:val="Nvel2Red"/>
        <w:numPr>
          <w:ilvl w:val="1"/>
          <w:numId w:val="1"/>
        </w:numPr>
        <w:spacing w:lineRule="auto" w:line="240" w:before="0" w:after="0"/>
        <w:rPr>
          <w:rFonts w:ascii="Arial" w:hAnsi="Arial"/>
          <w:i w:val="false"/>
          <w:i w:val="false"/>
          <w:iCs w:val="false"/>
          <w:color w:val="000000"/>
          <w:sz w:val="20"/>
          <w:szCs w:val="20"/>
        </w:rPr>
      </w:pPr>
      <w:r>
        <w:rPr>
          <w:i w:val="false"/>
          <w:iCs w:val="false"/>
          <w:color w:val="000000"/>
          <w:sz w:val="20"/>
          <w:szCs w:val="20"/>
        </w:rPr>
        <w:t xml:space="preserve">A Administração deverá ser informada no prazo de 5 (cinco) dias úteis sobre todos os contratos de suboperação firmados ou que venham a ser celebrados pelo Contratado. </w:t>
      </w:r>
    </w:p>
    <w:p>
      <w:pPr>
        <w:pStyle w:val="Nvel2Red"/>
        <w:numPr>
          <w:ilvl w:val="1"/>
          <w:numId w:val="1"/>
        </w:numPr>
        <w:spacing w:lineRule="auto" w:line="240" w:before="0" w:after="0"/>
        <w:rPr>
          <w:rFonts w:ascii="Arial" w:hAnsi="Arial" w:cs="Arial"/>
          <w:b/>
          <w:b/>
          <w:bCs/>
          <w:color w:val="5B5B5F"/>
          <w:sz w:val="26"/>
          <w:szCs w:val="26"/>
        </w:rPr>
      </w:pPr>
      <w:r>
        <w:rPr>
          <w:i w:val="false"/>
          <w:iCs w:val="false"/>
          <w:color w:val="000000"/>
          <w:sz w:val="20"/>
          <w:szCs w:val="20"/>
        </w:rPr>
        <w:t xml:space="preserve">Terminado o tratamento dos dados nos termos do </w:t>
      </w:r>
      <w:r>
        <w:fldChar w:fldCharType="begin"/>
      </w:r>
      <w:r>
        <w:rPr>
          <w:rStyle w:val="LinkdaInternet"/>
          <w:sz w:val="20"/>
          <w:i w:val="false"/>
          <w:szCs w:val="20"/>
          <w:iCs w:val="false"/>
          <w:color w:val="000000"/>
        </w:rPr>
        <w:instrText> HYPERLINK "https://www.planalto.gov.br/ccivil_03/_ato2015-2018/2018/lei/l13709.htm" \l "art15"</w:instrText>
      </w:r>
      <w:r>
        <w:rPr>
          <w:rStyle w:val="LinkdaInternet"/>
          <w:sz w:val="20"/>
          <w:i w:val="false"/>
          <w:szCs w:val="20"/>
          <w:iCs w:val="false"/>
          <w:color w:val="000000"/>
        </w:rPr>
        <w:fldChar w:fldCharType="separate"/>
      </w:r>
      <w:r>
        <w:rPr>
          <w:rStyle w:val="LinkdaInternet"/>
          <w:i w:val="false"/>
          <w:iCs w:val="false"/>
          <w:color w:val="000000"/>
          <w:sz w:val="20"/>
          <w:szCs w:val="20"/>
        </w:rPr>
        <w:t>art. 15 da LGPD</w:t>
      </w:r>
      <w:r>
        <w:rPr>
          <w:rStyle w:val="LinkdaInternet"/>
          <w:sz w:val="20"/>
          <w:i w:val="false"/>
          <w:szCs w:val="20"/>
          <w:iCs w:val="false"/>
          <w:color w:val="000000"/>
        </w:rPr>
        <w:fldChar w:fldCharType="end"/>
      </w:r>
      <w:r>
        <w:rPr>
          <w:i w:val="false"/>
          <w:iCs w:val="false"/>
          <w:color w:val="000000"/>
          <w:sz w:val="20"/>
          <w:szCs w:val="20"/>
        </w:rPr>
        <w:t xml:space="preserve">, é dever do contratado eliminá-los, com exceção das hipóteses do </w:t>
      </w:r>
      <w:r>
        <w:fldChar w:fldCharType="begin"/>
      </w:r>
      <w:r>
        <w:rPr>
          <w:rStyle w:val="LinkdaInternet"/>
          <w:sz w:val="20"/>
          <w:i w:val="false"/>
          <w:szCs w:val="20"/>
          <w:iCs w:val="false"/>
          <w:color w:val="000000"/>
        </w:rPr>
        <w:instrText> HYPERLINK "https://www.planalto.gov.br/ccivil_03/_ato2015-2018/2018/lei/l13709.htm" \l "art16"</w:instrText>
      </w:r>
      <w:r>
        <w:rPr>
          <w:rStyle w:val="LinkdaInternet"/>
          <w:sz w:val="20"/>
          <w:i w:val="false"/>
          <w:szCs w:val="20"/>
          <w:iCs w:val="false"/>
          <w:color w:val="000000"/>
        </w:rPr>
        <w:fldChar w:fldCharType="separate"/>
      </w:r>
      <w:r>
        <w:rPr>
          <w:rStyle w:val="LinkdaInternet"/>
          <w:i w:val="false"/>
          <w:iCs w:val="false"/>
          <w:color w:val="000000"/>
          <w:sz w:val="20"/>
          <w:szCs w:val="20"/>
        </w:rPr>
        <w:t>art. 16 da LGPD</w:t>
      </w:r>
      <w:r>
        <w:rPr>
          <w:rStyle w:val="LinkdaInternet"/>
          <w:sz w:val="20"/>
          <w:i w:val="false"/>
          <w:szCs w:val="20"/>
          <w:iCs w:val="false"/>
          <w:color w:val="000000"/>
        </w:rPr>
        <w:fldChar w:fldCharType="end"/>
      </w:r>
      <w:r>
        <w:rPr>
          <w:i w:val="false"/>
          <w:iCs w:val="false"/>
          <w:color w:val="000000"/>
          <w:sz w:val="20"/>
          <w:szCs w:val="20"/>
        </w:rPr>
        <w:t xml:space="preserve">, incluindo aquelas em que houver necessidade de guarda de documentação para fins de comprovação do cumprimento de obrigações legais ou contratuais e somente enquanto não prescritas essas obrigações. </w:t>
      </w:r>
    </w:p>
    <w:p>
      <w:pPr>
        <w:pStyle w:val="Nvel2Red"/>
        <w:numPr>
          <w:ilvl w:val="1"/>
          <w:numId w:val="1"/>
        </w:numPr>
        <w:spacing w:lineRule="auto" w:line="240" w:before="0" w:after="0"/>
        <w:rPr>
          <w:rFonts w:ascii="Arial" w:hAnsi="Arial"/>
          <w:sz w:val="20"/>
          <w:szCs w:val="20"/>
        </w:rPr>
      </w:pPr>
      <w:commentRangeStart w:id="39"/>
      <w:r>
        <w:rPr>
          <w:i w:val="false"/>
          <w:iCs w:val="false"/>
          <w:color w:val="000000"/>
          <w:sz w:val="20"/>
          <w:szCs w:val="20"/>
        </w:rPr>
        <w:t xml:space="preserve">É dever do contratado orientar e treinar seus empregados sobre os deveres, requisitos e responsabilidades decorrentes da LGPD. </w:t>
      </w:r>
      <w:commentRangeEnd w:id="39"/>
      <w:r>
        <w:commentReference w:id="39"/>
      </w:r>
      <w:r>
        <w:rPr>
          <w:i w:val="false"/>
          <w:iCs w:val="false"/>
          <w:color w:val="000000"/>
          <w:sz w:val="20"/>
          <w:szCs w:val="20"/>
        </w:rPr>
      </w:r>
    </w:p>
    <w:p>
      <w:pPr>
        <w:pStyle w:val="Nvel2Red"/>
        <w:numPr>
          <w:ilvl w:val="1"/>
          <w:numId w:val="1"/>
        </w:numPr>
        <w:spacing w:lineRule="auto" w:line="240" w:before="0" w:after="0"/>
        <w:rPr>
          <w:rFonts w:ascii="Arial" w:hAnsi="Arial"/>
          <w:i w:val="false"/>
          <w:i w:val="false"/>
          <w:iCs w:val="false"/>
          <w:color w:val="000000"/>
          <w:sz w:val="20"/>
          <w:szCs w:val="20"/>
        </w:rPr>
      </w:pPr>
      <w:r>
        <w:rPr>
          <w:i w:val="false"/>
          <w:iCs w:val="false"/>
          <w:color w:val="000000"/>
          <w:sz w:val="20"/>
          <w:szCs w:val="20"/>
        </w:rPr>
        <w:t>O Contratado deverá exigir de suboperadores e subcontratados o cumprimento dos deveres da presente cláusula, permanecendo integralmente responsável por garantir sua observância.</w:t>
      </w:r>
    </w:p>
    <w:p>
      <w:pPr>
        <w:pStyle w:val="Nvel2Red"/>
        <w:numPr>
          <w:ilvl w:val="1"/>
          <w:numId w:val="1"/>
        </w:numPr>
        <w:spacing w:lineRule="auto" w:line="240" w:before="0" w:after="0"/>
        <w:rPr>
          <w:rFonts w:ascii="Arial" w:hAnsi="Arial"/>
          <w:sz w:val="20"/>
          <w:szCs w:val="20"/>
        </w:rPr>
      </w:pPr>
      <w:commentRangeStart w:id="40"/>
      <w:r>
        <w:rPr>
          <w:i w:val="false"/>
          <w:iCs w:val="false"/>
          <w:color w:val="000000"/>
          <w:sz w:val="20"/>
          <w:szCs w:val="20"/>
        </w:rPr>
        <w:t xml:space="preserve">O Contratante poderá realizar diligência para aferir o cumprimento dessa cláusula, devendo o Contratado atender prontamente eventuais pedidos de comprovação formulados. </w:t>
      </w:r>
      <w:commentRangeEnd w:id="40"/>
      <w:r>
        <w:commentReference w:id="40"/>
      </w:r>
      <w:r>
        <w:rPr>
          <w:i w:val="false"/>
          <w:iCs w:val="false"/>
          <w:color w:val="000000"/>
          <w:sz w:val="20"/>
          <w:szCs w:val="20"/>
        </w:rPr>
      </w:r>
    </w:p>
    <w:p>
      <w:pPr>
        <w:pStyle w:val="Nvel2Red"/>
        <w:numPr>
          <w:ilvl w:val="1"/>
          <w:numId w:val="1"/>
        </w:numPr>
        <w:spacing w:lineRule="auto" w:line="240" w:before="0" w:after="0"/>
        <w:rPr>
          <w:rFonts w:ascii="Arial" w:hAnsi="Arial"/>
          <w:i w:val="false"/>
          <w:i w:val="false"/>
          <w:iCs w:val="false"/>
          <w:color w:val="000000"/>
          <w:sz w:val="20"/>
          <w:szCs w:val="20"/>
        </w:rPr>
      </w:pPr>
      <w:r>
        <w:rPr>
          <w:i w:val="false"/>
          <w:iCs w:val="false"/>
          <w:color w:val="000000"/>
          <w:sz w:val="20"/>
          <w:szCs w:val="20"/>
        </w:rPr>
        <w:t xml:space="preserve">O Contratado deverá prestar, no prazo fixado pelo Contratante, prorrogável justificadamente, quaisquer informações acerca dos dados pessoais para cumprimento da LGPD, inclusive quanto a eventual descarte realizado. </w:t>
      </w:r>
    </w:p>
    <w:p>
      <w:pPr>
        <w:pStyle w:val="Nvel2Red"/>
        <w:numPr>
          <w:ilvl w:val="1"/>
          <w:numId w:val="1"/>
        </w:numPr>
        <w:spacing w:lineRule="auto" w:line="240" w:before="0" w:after="0"/>
        <w:rPr>
          <w:rFonts w:ascii="Arial" w:hAnsi="Arial" w:cs="Arial"/>
          <w:b/>
          <w:b/>
          <w:bCs/>
          <w:color w:val="5B5B5F"/>
          <w:sz w:val="26"/>
          <w:szCs w:val="26"/>
        </w:rPr>
      </w:pPr>
      <w:r>
        <w:rPr>
          <w:i w:val="false"/>
          <w:iCs w:val="false"/>
          <w:color w:val="000000"/>
          <w:sz w:val="20"/>
          <w:szCs w:val="20"/>
        </w:rPr>
        <w:t>Bancos de dados formados a partir de contratos administrativos, notadamente aqueles que se proponham a armazenar dados pessoais, devem ser mantidos em ambiente virtual controlado, com registro individual rastreável de tratamentos realizados (</w:t>
      </w:r>
      <w:hyperlink r:id="rId35">
        <w:r>
          <w:rPr>
            <w:rStyle w:val="LinkdaInternet"/>
            <w:i w:val="false"/>
            <w:iCs w:val="false"/>
            <w:color w:val="000000"/>
            <w:sz w:val="20"/>
            <w:szCs w:val="20"/>
          </w:rPr>
          <w:t>LGPD, art. 37</w:t>
        </w:r>
      </w:hyperlink>
      <w:r>
        <w:rPr>
          <w:i w:val="false"/>
          <w:iCs w:val="false"/>
          <w:color w:val="000000"/>
          <w:sz w:val="20"/>
          <w:szCs w:val="20"/>
        </w:rPr>
        <w:t>), com cada acesso, data, horário e registro da finalidade, para efeito de responsabilização, em caso de eventuais omissões, desvios ou abusos.</w:t>
      </w:r>
    </w:p>
    <w:p>
      <w:pPr>
        <w:pStyle w:val="Nvel3R"/>
        <w:widowControl/>
        <w:numPr>
          <w:ilvl w:val="2"/>
          <w:numId w:val="1"/>
        </w:numPr>
        <w:suppressAutoHyphens w:val="true"/>
        <w:overflowPunct w:val="true"/>
        <w:bidi w:val="0"/>
        <w:spacing w:lineRule="auto" w:line="240" w:before="0" w:after="0"/>
        <w:ind w:left="0" w:right="0" w:firstLine="567"/>
        <w:jc w:val="both"/>
        <w:rPr>
          <w:rFonts w:ascii="Arial" w:hAnsi="Arial"/>
          <w:i w:val="false"/>
          <w:i w:val="false"/>
          <w:iCs w:val="false"/>
          <w:color w:val="000000"/>
          <w:sz w:val="20"/>
          <w:szCs w:val="20"/>
        </w:rPr>
      </w:pPr>
      <w:r>
        <w:rPr>
          <w:i w:val="false"/>
          <w:iCs w:val="false"/>
          <w:color w:val="000000"/>
          <w:sz w:val="20"/>
          <w:szCs w:val="20"/>
        </w:rPr>
        <w:t>Os referidos bancos de dados devem ser desenvolvidos em formato interoperável, a fim de garantir a reutilização desses dados pela Administração nas hipóteses previstas na LGPD.</w:t>
      </w:r>
    </w:p>
    <w:p>
      <w:pPr>
        <w:pStyle w:val="Nvel2Red"/>
        <w:numPr>
          <w:ilvl w:val="1"/>
          <w:numId w:val="1"/>
        </w:numPr>
        <w:spacing w:lineRule="auto" w:line="240" w:before="0" w:after="0"/>
        <w:rPr>
          <w:rFonts w:ascii="Arial" w:hAnsi="Arial"/>
          <w:i w:val="false"/>
          <w:i w:val="false"/>
          <w:iCs w:val="false"/>
          <w:color w:val="000000"/>
          <w:sz w:val="20"/>
          <w:szCs w:val="20"/>
        </w:rPr>
      </w:pPr>
      <w:r>
        <w:rPr>
          <w:i w:val="false"/>
          <w:iCs w:val="false"/>
          <w:color w:val="000000"/>
          <w:sz w:val="20"/>
          <w:szCs w:val="20"/>
        </w:rPr>
        <w:t>O contrato está sujeito a ser alterado nos procedimentos pertinentes ao tratamento de dados pessoais, quando indicado pela autoridade competente, em especial a ANPD por meio de opiniões técnicas ou recomendações, editadas na forma da LGPD.</w:t>
      </w:r>
    </w:p>
    <w:p>
      <w:pPr>
        <w:pStyle w:val="Nvel2Red"/>
        <w:numPr>
          <w:ilvl w:val="1"/>
          <w:numId w:val="1"/>
        </w:numPr>
        <w:spacing w:lineRule="auto" w:line="240" w:before="0" w:after="0"/>
        <w:rPr>
          <w:rFonts w:ascii="Arial" w:hAnsi="Arial" w:cs="Arial"/>
          <w:b/>
          <w:b/>
          <w:bCs/>
          <w:color w:val="5B5B5F"/>
          <w:sz w:val="26"/>
          <w:szCs w:val="26"/>
        </w:rPr>
      </w:pPr>
      <w:commentRangeStart w:id="41"/>
      <w:r>
        <w:rPr>
          <w:i w:val="false"/>
          <w:iCs w:val="false"/>
          <w:color w:val="000000"/>
          <w:sz w:val="20"/>
          <w:szCs w:val="20"/>
        </w:rPr>
        <w:t xml:space="preserve">Os contratos e convênios de que trata o </w:t>
      </w:r>
      <w:r>
        <w:fldChar w:fldCharType="begin"/>
      </w:r>
      <w:r>
        <w:rPr>
          <w:rStyle w:val="LinkdaInternet"/>
          <w:sz w:val="20"/>
          <w:i w:val="false"/>
          <w:szCs w:val="20"/>
          <w:iCs w:val="false"/>
          <w:color w:val="000000"/>
        </w:rPr>
        <w:instrText> HYPERLINK "https://www.planalto.gov.br/ccivil_03/_ato2015-2018/2018/lei/l13709.htm" \l "art26§1"</w:instrText>
      </w:r>
      <w:r>
        <w:rPr>
          <w:rStyle w:val="LinkdaInternet"/>
          <w:sz w:val="20"/>
          <w:i w:val="false"/>
          <w:szCs w:val="20"/>
          <w:iCs w:val="false"/>
          <w:color w:val="000000"/>
        </w:rPr>
        <w:fldChar w:fldCharType="separate"/>
      </w:r>
      <w:r>
        <w:rPr>
          <w:rStyle w:val="LinkdaInternet"/>
          <w:i w:val="false"/>
          <w:iCs w:val="false"/>
          <w:color w:val="000000"/>
          <w:sz w:val="20"/>
          <w:szCs w:val="20"/>
        </w:rPr>
        <w:t>§ 1º do art. 26 da LGPD</w:t>
      </w:r>
      <w:r>
        <w:rPr>
          <w:rStyle w:val="LinkdaInternet"/>
          <w:sz w:val="20"/>
          <w:i w:val="false"/>
          <w:szCs w:val="20"/>
          <w:iCs w:val="false"/>
          <w:color w:val="000000"/>
        </w:rPr>
        <w:fldChar w:fldCharType="end"/>
      </w:r>
      <w:r>
        <w:rPr>
          <w:i w:val="false"/>
          <w:iCs w:val="false"/>
          <w:color w:val="000000"/>
          <w:sz w:val="20"/>
          <w:szCs w:val="20"/>
        </w:rPr>
        <w:t xml:space="preserve"> deverão ser comunicados à autoridade nacional.</w:t>
      </w:r>
      <w:commentRangeEnd w:id="41"/>
      <w:r>
        <w:commentReference w:id="41"/>
      </w:r>
      <w:r>
        <w:rPr>
          <w:i w:val="false"/>
          <w:iCs w:val="false"/>
          <w:color w:val="000000"/>
          <w:sz w:val="20"/>
          <w:szCs w:val="20"/>
        </w:rPr>
      </w:r>
    </w:p>
    <w:p>
      <w:pPr>
        <w:pStyle w:val="Nvel2Red"/>
        <w:numPr>
          <w:ilvl w:val="0"/>
          <w:numId w:val="0"/>
        </w:numPr>
        <w:spacing w:lineRule="auto" w:line="240" w:before="0" w:after="0"/>
        <w:ind w:left="0" w:right="0" w:hanging="0"/>
        <w:rPr>
          <w:rFonts w:ascii="Arial" w:hAnsi="Arial"/>
          <w:sz w:val="20"/>
          <w:szCs w:val="20"/>
        </w:rPr>
      </w:pPr>
      <w:r>
        <w:rPr>
          <w:sz w:val="20"/>
          <w:szCs w:val="20"/>
        </w:rPr>
      </w:r>
    </w:p>
    <w:p>
      <w:pPr>
        <w:pStyle w:val="Nivel01"/>
        <w:keepNext w:val="true"/>
        <w:keepLines/>
        <w:widowControl/>
        <w:numPr>
          <w:ilvl w:val="0"/>
          <w:numId w:val="1"/>
        </w:numPr>
        <w:suppressAutoHyphens w:val="true"/>
        <w:overflowPunct w:val="true"/>
        <w:bidi w:val="0"/>
        <w:spacing w:lineRule="auto" w:line="240" w:before="0" w:after="0"/>
        <w:ind w:left="0" w:right="0" w:hanging="0"/>
        <w:jc w:val="both"/>
        <w:rPr>
          <w:rFonts w:ascii="Arial" w:hAnsi="Arial" w:eastAsia="ＭＳ ゴシック" w:cs="Arial"/>
          <w:kern w:val="0"/>
          <w:sz w:val="20"/>
          <w:szCs w:val="20"/>
          <w:lang w:val="pt-BR" w:eastAsia="pt-BR" w:bidi="ar-SA"/>
        </w:rPr>
      </w:pPr>
      <w:r>
        <w:rPr>
          <w:rFonts w:eastAsia="ＭＳ ゴシック" w:cs="Arial"/>
          <w:kern w:val="0"/>
          <w:sz w:val="20"/>
          <w:szCs w:val="20"/>
          <w:lang w:val="pt-BR" w:eastAsia="pt-BR" w:bidi="ar-SA"/>
        </w:rPr>
        <w:t>CLÁUSULA DÉCIMA PRIMEIRA – GARANTIA DE EXECUÇÃO (art. 92, XII)</w:t>
      </w:r>
    </w:p>
    <w:p>
      <w:pPr>
        <w:pStyle w:val="Nvel2Red"/>
        <w:numPr>
          <w:ilvl w:val="1"/>
          <w:numId w:val="1"/>
        </w:numPr>
        <w:spacing w:lineRule="auto" w:line="240" w:before="0" w:after="0"/>
        <w:rPr>
          <w:rFonts w:ascii="Arial" w:hAnsi="Arial" w:cs="Arial"/>
          <w:b/>
          <w:b/>
          <w:bCs/>
          <w:color w:val="5B5B5F"/>
          <w:sz w:val="26"/>
          <w:szCs w:val="26"/>
        </w:rPr>
      </w:pPr>
      <w:r>
        <w:rPr>
          <w:b w:val="false"/>
          <w:bCs w:val="false"/>
          <w:i w:val="false"/>
          <w:iCs w:val="false"/>
          <w:color w:val="000000"/>
          <w:sz w:val="20"/>
          <w:szCs w:val="20"/>
          <w:shd w:fill="FFFFFF" w:val="clear"/>
        </w:rPr>
        <w:t xml:space="preserve">A contratação conta com garantia de execução, nos moldes do </w:t>
      </w:r>
      <w:r>
        <w:fldChar w:fldCharType="begin"/>
      </w:r>
      <w:r>
        <w:rPr>
          <w:rStyle w:val="LinkdaInternet"/>
          <w:sz w:val="20"/>
          <w:i w:val="false"/>
          <w:szCs w:val="20"/>
          <w:iCs w:val="false"/>
        </w:rPr>
        <w:instrText> HYPERLINK "http://www.planalto.gov.br/ccivil_03/_ato2019-2022/2021/lei/L14133.htm" \l "art96"</w:instrText>
      </w:r>
      <w:r>
        <w:rPr>
          <w:rStyle w:val="LinkdaInternet"/>
          <w:sz w:val="20"/>
          <w:i w:val="false"/>
          <w:szCs w:val="20"/>
          <w:iCs w:val="false"/>
        </w:rPr>
        <w:fldChar w:fldCharType="separate"/>
      </w:r>
      <w:r>
        <w:rPr>
          <w:rStyle w:val="LinkdaInternet"/>
          <w:i w:val="false"/>
          <w:iCs w:val="false"/>
          <w:sz w:val="20"/>
          <w:szCs w:val="20"/>
        </w:rPr>
        <w:t>art. 96 da Lei nº 14.133, de 2021</w:t>
      </w:r>
      <w:r>
        <w:rPr>
          <w:rStyle w:val="LinkdaInternet"/>
          <w:sz w:val="20"/>
          <w:i w:val="false"/>
          <w:szCs w:val="20"/>
          <w:iCs w:val="false"/>
        </w:rPr>
        <w:fldChar w:fldCharType="end"/>
      </w:r>
      <w:r>
        <w:rPr>
          <w:rStyle w:val="LinkdaInternet"/>
          <w:b w:val="false"/>
          <w:bCs w:val="false"/>
          <w:i w:val="false"/>
          <w:iCs w:val="false"/>
          <w:color w:val="000000"/>
          <w:sz w:val="20"/>
          <w:szCs w:val="20"/>
          <w:shd w:fill="FFFFFF" w:val="clear"/>
        </w:rPr>
        <w:t xml:space="preserve">, </w:t>
      </w:r>
      <w:r>
        <w:rPr>
          <w:b w:val="false"/>
          <w:bCs w:val="false"/>
          <w:i w:val="false"/>
          <w:iCs w:val="false"/>
          <w:color w:val="000000"/>
          <w:sz w:val="20"/>
          <w:szCs w:val="20"/>
          <w:shd w:fill="FFFFFF" w:val="clear"/>
        </w:rPr>
        <w:t xml:space="preserve"> em valor correspondente a 5% (cinco por cento) do valor inicial do contrato.</w:t>
      </w:r>
    </w:p>
    <w:p>
      <w:pPr>
        <w:pStyle w:val="Nivel2"/>
        <w:numPr>
          <w:ilvl w:val="1"/>
          <w:numId w:val="1"/>
        </w:numPr>
        <w:spacing w:lineRule="auto" w:line="240" w:before="0" w:after="0"/>
        <w:rPr>
          <w:rFonts w:ascii="Arial" w:hAnsi="Arial"/>
          <w:sz w:val="20"/>
          <w:szCs w:val="20"/>
        </w:rPr>
      </w:pPr>
      <w:r>
        <w:rPr>
          <w:b w:val="false"/>
          <w:bCs w:val="false"/>
          <w:i w:val="false"/>
          <w:iCs w:val="false"/>
          <w:color w:val="000000"/>
          <w:sz w:val="20"/>
          <w:szCs w:val="20"/>
          <w:shd w:fill="FFFFFF" w:val="clear"/>
        </w:rPr>
        <w:t xml:space="preserve">O contratado apresentará, no prazo máximo de 05 (cinco) dias úteis, prorrogáveis por igual período, a critério do contratante, contado da assinatura do contrato, comprovante de prestação de garantia, podendo optar por caução em dinheiro ou títulos da dívida pública ou, ainda, pela fiança bancária, em valor correspondente a 05% (cinco por cento) do valor inicial/total/anual do </w:t>
      </w:r>
      <w:commentRangeStart w:id="42"/>
      <w:r>
        <w:rPr>
          <w:b w:val="false"/>
          <w:bCs w:val="false"/>
          <w:i w:val="false"/>
          <w:iCs w:val="false"/>
          <w:color w:val="000000"/>
          <w:sz w:val="20"/>
          <w:szCs w:val="20"/>
          <w:shd w:fill="FFFFFF" w:val="clear"/>
        </w:rPr>
        <w:t>contrato</w:t>
      </w:r>
      <w:r>
        <w:rPr>
          <w:b w:val="false"/>
          <w:bCs w:val="false"/>
          <w:i w:val="false"/>
          <w:iCs w:val="false"/>
          <w:color w:val="000000"/>
          <w:sz w:val="20"/>
          <w:szCs w:val="20"/>
          <w:shd w:fill="FFFFFF" w:val="clear"/>
        </w:rPr>
      </w:r>
      <w:commentRangeEnd w:id="42"/>
      <w:r>
        <w:commentReference w:id="42"/>
      </w:r>
      <w:r>
        <w:rPr>
          <w:b w:val="false"/>
          <w:bCs w:val="false"/>
          <w:i w:val="false"/>
          <w:iCs w:val="false"/>
          <w:color w:val="000000"/>
          <w:sz w:val="20"/>
          <w:szCs w:val="20"/>
          <w:shd w:fill="FFFFFF" w:val="clear"/>
        </w:rPr>
        <w:t>.</w:t>
      </w:r>
    </w:p>
    <w:p>
      <w:pPr>
        <w:pStyle w:val="Nvel2Red"/>
        <w:numPr>
          <w:ilvl w:val="1"/>
          <w:numId w:val="1"/>
        </w:numPr>
        <w:spacing w:lineRule="auto" w:line="240" w:before="0" w:after="0"/>
        <w:rPr>
          <w:rFonts w:ascii="Arial" w:hAnsi="Arial"/>
          <w:sz w:val="20"/>
          <w:szCs w:val="20"/>
        </w:rPr>
      </w:pPr>
      <w:r>
        <w:rPr>
          <w:b w:val="false"/>
          <w:bCs w:val="false"/>
          <w:i w:val="false"/>
          <w:iCs w:val="false"/>
          <w:color w:val="000000"/>
          <w:sz w:val="20"/>
          <w:szCs w:val="20"/>
          <w:shd w:fill="FFFFFF" w:val="clear"/>
        </w:rPr>
        <w:t>Caso utilizada a modalidade de seguro-garantia, a apólice deverá ter validade durante a vigência do contrato e por mais 90 (noventa) dias após término deste prazo de vigência, permanecendo em vigor  mesmo que o contratado não pague o prêmio nas datas convencionadas.</w:t>
      </w:r>
      <w:r>
        <w:rPr/>
        <w:commentReference w:id="43"/>
      </w:r>
    </w:p>
    <w:p>
      <w:pPr>
        <w:pStyle w:val="Nvel2Red"/>
        <w:numPr>
          <w:ilvl w:val="1"/>
          <w:numId w:val="1"/>
        </w:numPr>
        <w:spacing w:lineRule="auto" w:line="240" w:before="0" w:after="0"/>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A apólice do seguro garantia deverá acompanhar as modificações referentes à vigência do contrato principal mediante a emissão do respectivo endosso pela seguradora.</w:t>
      </w:r>
    </w:p>
    <w:p>
      <w:pPr>
        <w:pStyle w:val="Nvel2Red"/>
        <w:numPr>
          <w:ilvl w:val="1"/>
          <w:numId w:val="1"/>
        </w:numPr>
        <w:spacing w:lineRule="auto" w:line="240" w:before="0" w:after="0"/>
        <w:rPr>
          <w:rFonts w:ascii="Arial" w:hAnsi="Arial"/>
          <w:sz w:val="20"/>
          <w:szCs w:val="20"/>
        </w:rPr>
      </w:pPr>
      <w:bookmarkStart w:id="53" w:name="_Ref122963805"/>
      <w:r>
        <w:rPr>
          <w:b w:val="false"/>
          <w:bCs w:val="false"/>
          <w:i w:val="false"/>
          <w:iCs w:val="false"/>
          <w:color w:val="000000"/>
          <w:sz w:val="20"/>
          <w:szCs w:val="20"/>
          <w:shd w:fill="FFFFFF" w:val="clear"/>
        </w:rPr>
        <w:t xml:space="preserve">Será permitida a substituição da apólice de seguro-garantia na data de renovação ou de aniversário, desde que mantidas as condições e coberturas da apólice vigente e nenhum período fique descoberto, ressalvado o disposto no item </w:t>
      </w:r>
      <w:r>
        <w:rPr>
          <w:b w:val="false"/>
          <w:bCs w:val="false"/>
          <w:i w:val="false"/>
          <w:iCs w:val="false"/>
          <w:color w:val="000000"/>
          <w:sz w:val="20"/>
          <w:szCs w:val="20"/>
          <w:shd w:fill="FFFFFF" w:val="clear"/>
        </w:rPr>
        <w:fldChar w:fldCharType="begin"/>
      </w:r>
      <w:r>
        <w:rPr>
          <w:sz w:val="20"/>
          <w:i w:val="false"/>
          <w:b w:val="false"/>
          <w:shd w:fill="FFFFFF" w:val="clear"/>
          <w:szCs w:val="20"/>
          <w:iCs w:val="false"/>
          <w:bCs w:val="false"/>
          <w:color w:val="000000"/>
        </w:rPr>
        <w:instrText> REF _Ref118297051 \r \h </w:instrText>
      </w:r>
      <w:r>
        <w:rPr>
          <w:sz w:val="20"/>
          <w:i w:val="false"/>
          <w:b w:val="false"/>
          <w:shd w:fill="FFFFFF" w:val="clear"/>
          <w:szCs w:val="20"/>
          <w:iCs w:val="false"/>
          <w:bCs w:val="false"/>
          <w:color w:val="000000"/>
        </w:rPr>
        <w:fldChar w:fldCharType="separate"/>
      </w:r>
      <w:r>
        <w:rPr>
          <w:sz w:val="20"/>
          <w:i w:val="false"/>
          <w:b w:val="false"/>
          <w:shd w:fill="FFFFFF" w:val="clear"/>
          <w:szCs w:val="20"/>
          <w:iCs w:val="false"/>
          <w:bCs w:val="false"/>
          <w:color w:val="000000"/>
        </w:rPr>
        <w:t>11.6</w:t>
      </w:r>
      <w:r>
        <w:rPr>
          <w:sz w:val="20"/>
          <w:i w:val="false"/>
          <w:b w:val="false"/>
          <w:shd w:fill="FFFFFF" w:val="clear"/>
          <w:szCs w:val="20"/>
          <w:iCs w:val="false"/>
          <w:bCs w:val="false"/>
          <w:color w:val="000000"/>
        </w:rPr>
        <w:fldChar w:fldCharType="end"/>
      </w:r>
      <w:r>
        <w:rPr>
          <w:b w:val="false"/>
          <w:bCs w:val="false"/>
          <w:i w:val="false"/>
          <w:iCs w:val="false"/>
          <w:color w:val="000000"/>
          <w:sz w:val="20"/>
          <w:szCs w:val="20"/>
          <w:shd w:fill="FFFFFF" w:val="clear"/>
        </w:rPr>
        <w:t xml:space="preserve"> deste contrato.</w:t>
      </w:r>
      <w:bookmarkEnd w:id="53"/>
    </w:p>
    <w:p>
      <w:pPr>
        <w:pStyle w:val="Nvel2Red"/>
        <w:numPr>
          <w:ilvl w:val="1"/>
          <w:numId w:val="1"/>
        </w:numPr>
        <w:spacing w:lineRule="auto" w:line="240" w:before="0" w:after="0"/>
        <w:rPr>
          <w:rFonts w:ascii="Arial" w:hAnsi="Arial"/>
          <w:b w:val="false"/>
          <w:b w:val="false"/>
          <w:bCs w:val="false"/>
          <w:i w:val="false"/>
          <w:i w:val="false"/>
          <w:iCs w:val="false"/>
          <w:color w:val="000000"/>
          <w:sz w:val="20"/>
          <w:szCs w:val="20"/>
          <w:shd w:fill="FFFFFF" w:val="clear"/>
        </w:rPr>
      </w:pPr>
      <w:bookmarkStart w:id="54" w:name="_Ref118297051"/>
      <w:bookmarkStart w:id="55" w:name="_Ref122963836"/>
      <w:r>
        <w:rPr>
          <w:b w:val="false"/>
          <w:bCs w:val="false"/>
          <w:i w:val="false"/>
          <w:iCs w:val="false"/>
          <w:color w:val="000000"/>
          <w:sz w:val="20"/>
          <w:szCs w:val="20"/>
          <w:shd w:fill="FFFFFF" w:val="clear"/>
        </w:rPr>
        <w:t>Na hipótese de suspensão do contrato por ordem ou inadimplemento da Administração, o contratado ficará desobrigado de renovar a garantia ou de endossar a apólice de seguro até a ordem de reinício da execução ou o adimplemento pela Administração.</w:t>
      </w:r>
      <w:bookmarkEnd w:id="54"/>
      <w:bookmarkEnd w:id="55"/>
    </w:p>
    <w:p>
      <w:pPr>
        <w:pStyle w:val="Nvel2Red"/>
        <w:numPr>
          <w:ilvl w:val="1"/>
          <w:numId w:val="1"/>
        </w:numPr>
        <w:spacing w:lineRule="auto" w:line="240" w:before="0" w:after="0"/>
        <w:rPr>
          <w:rFonts w:ascii="Arial" w:hAnsi="Arial"/>
          <w:sz w:val="20"/>
          <w:szCs w:val="20"/>
        </w:rPr>
      </w:pPr>
      <w:bookmarkStart w:id="56" w:name="_Ref118297166"/>
      <w:r>
        <w:rPr>
          <w:b w:val="false"/>
          <w:bCs w:val="false"/>
          <w:i w:val="false"/>
          <w:iCs w:val="false"/>
          <w:color w:val="000000"/>
          <w:sz w:val="20"/>
          <w:szCs w:val="20"/>
          <w:shd w:fill="FFFFFF" w:val="clear"/>
        </w:rPr>
        <w:t>A garantia assegurará, qualquer que seja a modalidade escolhida, o pagamento de:</w:t>
      </w:r>
      <w:bookmarkEnd w:id="56"/>
      <w:r>
        <w:rPr>
          <w:b w:val="false"/>
          <w:bCs w:val="false"/>
          <w:i w:val="false"/>
          <w:iCs w:val="false"/>
          <w:color w:val="000000"/>
          <w:sz w:val="20"/>
          <w:szCs w:val="20"/>
          <w:shd w:fill="FFFFFF" w:val="clear"/>
        </w:rPr>
        <w:t xml:space="preserve"> </w:t>
      </w:r>
    </w:p>
    <w:p>
      <w:pPr>
        <w:pStyle w:val="Nvel3R"/>
        <w:widowControl/>
        <w:numPr>
          <w:ilvl w:val="2"/>
          <w:numId w:val="1"/>
        </w:numPr>
        <w:suppressAutoHyphens w:val="true"/>
        <w:overflowPunct w:val="true"/>
        <w:bidi w:val="0"/>
        <w:spacing w:lineRule="auto" w:line="240" w:before="0" w:after="0"/>
        <w:ind w:left="0" w:right="0" w:firstLine="567"/>
        <w:jc w:val="both"/>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 xml:space="preserve">prejuízos advindos do não cumprimento do objeto do contrato e do não adimplemento das demais obrigações nele previstas; </w:t>
      </w:r>
    </w:p>
    <w:p>
      <w:pPr>
        <w:pStyle w:val="Nvel3R"/>
        <w:widowControl/>
        <w:numPr>
          <w:ilvl w:val="2"/>
          <w:numId w:val="1"/>
        </w:numPr>
        <w:suppressAutoHyphens w:val="true"/>
        <w:overflowPunct w:val="true"/>
        <w:bidi w:val="0"/>
        <w:spacing w:lineRule="auto" w:line="240" w:before="0" w:after="0"/>
        <w:ind w:left="0" w:right="0" w:firstLine="567"/>
        <w:jc w:val="both"/>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 xml:space="preserve">multas moratórias e punitivas aplicadas pela Administração à contratada; e  </w:t>
      </w:r>
    </w:p>
    <w:p>
      <w:pPr>
        <w:pStyle w:val="Nvel3R"/>
        <w:widowControl/>
        <w:numPr>
          <w:ilvl w:val="2"/>
          <w:numId w:val="1"/>
        </w:numPr>
        <w:suppressAutoHyphens w:val="true"/>
        <w:overflowPunct w:val="true"/>
        <w:bidi w:val="0"/>
        <w:spacing w:lineRule="auto" w:line="240" w:before="0" w:after="0"/>
        <w:ind w:left="0" w:right="0" w:firstLine="567"/>
        <w:jc w:val="both"/>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obrigações trabalhistas e previdenciárias de qualquer natureza e para com o FGTS, não adimplidas pelo contratado, quando couber.</w:t>
      </w:r>
    </w:p>
    <w:p>
      <w:pPr>
        <w:pStyle w:val="Nvel2Red"/>
        <w:numPr>
          <w:ilvl w:val="1"/>
          <w:numId w:val="1"/>
        </w:numPr>
        <w:spacing w:lineRule="auto" w:line="240" w:before="0" w:after="0"/>
        <w:rPr>
          <w:rFonts w:ascii="Arial" w:hAnsi="Arial"/>
          <w:sz w:val="20"/>
          <w:szCs w:val="20"/>
        </w:rPr>
      </w:pPr>
      <w:r>
        <w:rPr>
          <w:b w:val="false"/>
          <w:bCs w:val="false"/>
          <w:i w:val="false"/>
          <w:iCs w:val="false"/>
          <w:color w:val="000000"/>
          <w:sz w:val="20"/>
          <w:szCs w:val="20"/>
          <w:shd w:fill="FFFFFF" w:val="clear"/>
        </w:rPr>
        <w:t xml:space="preserve">A modalidade seguro-garantia somente será aceita se contemplar todos os eventos indicados no item </w:t>
      </w:r>
      <w:r>
        <w:rPr>
          <w:b w:val="false"/>
          <w:bCs w:val="false"/>
          <w:i w:val="false"/>
          <w:iCs w:val="false"/>
          <w:color w:val="000000"/>
          <w:sz w:val="20"/>
          <w:szCs w:val="20"/>
          <w:shd w:fill="FFFFFF" w:val="clear"/>
        </w:rPr>
        <w:fldChar w:fldCharType="begin"/>
      </w:r>
      <w:r>
        <w:rPr>
          <w:sz w:val="20"/>
          <w:i w:val="false"/>
          <w:b w:val="false"/>
          <w:shd w:fill="FFFFFF" w:val="clear"/>
          <w:szCs w:val="20"/>
          <w:iCs w:val="false"/>
          <w:bCs w:val="false"/>
          <w:color w:val="000000"/>
        </w:rPr>
        <w:instrText> REF _Ref118297166 \r \h </w:instrText>
      </w:r>
      <w:r>
        <w:rPr>
          <w:sz w:val="20"/>
          <w:i w:val="false"/>
          <w:b w:val="false"/>
          <w:shd w:fill="FFFFFF" w:val="clear"/>
          <w:szCs w:val="20"/>
          <w:iCs w:val="false"/>
          <w:bCs w:val="false"/>
          <w:color w:val="000000"/>
        </w:rPr>
        <w:fldChar w:fldCharType="separate"/>
      </w:r>
      <w:r>
        <w:rPr>
          <w:sz w:val="20"/>
          <w:i w:val="false"/>
          <w:b w:val="false"/>
          <w:shd w:fill="FFFFFF" w:val="clear"/>
          <w:szCs w:val="20"/>
          <w:iCs w:val="false"/>
          <w:bCs w:val="false"/>
          <w:color w:val="000000"/>
        </w:rPr>
        <w:t>11.7</w:t>
      </w:r>
      <w:r>
        <w:rPr>
          <w:sz w:val="20"/>
          <w:i w:val="false"/>
          <w:b w:val="false"/>
          <w:shd w:fill="FFFFFF" w:val="clear"/>
          <w:szCs w:val="20"/>
          <w:iCs w:val="false"/>
          <w:bCs w:val="false"/>
          <w:color w:val="000000"/>
        </w:rPr>
        <w:fldChar w:fldCharType="end"/>
      </w:r>
      <w:r>
        <w:rPr>
          <w:b w:val="false"/>
          <w:bCs w:val="false"/>
          <w:i w:val="false"/>
          <w:iCs w:val="false"/>
          <w:color w:val="000000"/>
          <w:sz w:val="20"/>
          <w:szCs w:val="20"/>
          <w:shd w:fill="FFFFFF" w:val="clear"/>
        </w:rPr>
        <w:t xml:space="preserve">, observada a legislação que rege a matéria. </w:t>
      </w:r>
    </w:p>
    <w:p>
      <w:pPr>
        <w:pStyle w:val="Nvel2Red"/>
        <w:numPr>
          <w:ilvl w:val="1"/>
          <w:numId w:val="1"/>
        </w:numPr>
        <w:spacing w:lineRule="auto" w:line="240" w:before="0" w:after="0"/>
        <w:rPr>
          <w:rFonts w:ascii="Arial" w:hAnsi="Arial"/>
          <w:sz w:val="20"/>
          <w:szCs w:val="20"/>
        </w:rPr>
      </w:pPr>
      <w:commentRangeStart w:id="44"/>
      <w:r>
        <w:rPr>
          <w:b w:val="false"/>
          <w:bCs w:val="false"/>
          <w:i w:val="false"/>
          <w:iCs w:val="false"/>
          <w:color w:val="000000"/>
          <w:sz w:val="20"/>
          <w:szCs w:val="20"/>
          <w:shd w:fill="FFFFFF" w:val="clear"/>
        </w:rPr>
        <w:t>A garantia em dinheiro deverá ser efetuada em favor do contratante, em conta específica, com correção monetária.</w:t>
      </w:r>
      <w:commentRangeEnd w:id="44"/>
      <w:r>
        <w:commentReference w:id="44"/>
      </w:r>
      <w:r>
        <w:rPr>
          <w:b w:val="false"/>
          <w:bCs w:val="false"/>
          <w:i w:val="false"/>
          <w:iCs w:val="false"/>
          <w:color w:val="000000"/>
          <w:sz w:val="20"/>
          <w:szCs w:val="20"/>
          <w:shd w:fill="FFFFFF" w:val="clear"/>
        </w:rPr>
      </w:r>
    </w:p>
    <w:p>
      <w:pPr>
        <w:pStyle w:val="Nvel2Red"/>
        <w:numPr>
          <w:ilvl w:val="1"/>
          <w:numId w:val="1"/>
        </w:numPr>
        <w:spacing w:lineRule="auto" w:line="240" w:before="0" w:after="0"/>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Caso a opção seja por utilizar títulos da dívida pública, estes devem ter sido emitidos sob a forma escritural, mediante registro em sistema centralizado de liquidação e de custódia autorizado pelo Banco Central do Brasil, e avaliados pelos seus valores econômicos, conforme definido pelo Ministério competente.</w:t>
      </w:r>
    </w:p>
    <w:p>
      <w:pPr>
        <w:pStyle w:val="Nvel2Red"/>
        <w:numPr>
          <w:ilvl w:val="1"/>
          <w:numId w:val="1"/>
        </w:numPr>
        <w:spacing w:lineRule="auto" w:line="240" w:before="0" w:after="0"/>
        <w:rPr>
          <w:rFonts w:ascii="Arial" w:hAnsi="Arial" w:cs="Arial"/>
          <w:b/>
          <w:b/>
          <w:bCs/>
          <w:color w:val="5B5B5F"/>
          <w:sz w:val="26"/>
          <w:szCs w:val="26"/>
        </w:rPr>
      </w:pPr>
      <w:r>
        <w:rPr>
          <w:b w:val="false"/>
          <w:bCs w:val="false"/>
          <w:i w:val="false"/>
          <w:iCs w:val="false"/>
          <w:color w:val="000000"/>
          <w:sz w:val="20"/>
          <w:szCs w:val="20"/>
          <w:shd w:fill="FFFFFF" w:val="clear"/>
        </w:rPr>
        <w:t xml:space="preserve">No caso de garantia na modalidade de fiança bancária, deverá ser emitida por banco ou instituição financeira devidamente autorizada a operar no País pelo Banco Central do Brasil, e deverá constar expressa renúncia do fiador aos benefícios do </w:t>
      </w:r>
      <w:r>
        <w:fldChar w:fldCharType="begin"/>
      </w:r>
      <w:r>
        <w:rPr>
          <w:rStyle w:val="LinkdaInternet"/>
          <w:sz w:val="20"/>
          <w:i w:val="false"/>
          <w:b w:val="false"/>
          <w:shd w:fill="FFFFFF" w:val="clear"/>
          <w:szCs w:val="20"/>
          <w:iCs w:val="false"/>
          <w:bCs w:val="false"/>
          <w:color w:val="000000"/>
        </w:rPr>
        <w:instrText> HYPERLINK "https://www.planalto.gov.br/ccivil_03/leis/2002/l10406compilada.htm" \l "art827"</w:instrText>
      </w:r>
      <w:r>
        <w:rPr>
          <w:rStyle w:val="LinkdaInternet"/>
          <w:sz w:val="20"/>
          <w:i w:val="false"/>
          <w:b w:val="false"/>
          <w:shd w:fill="FFFFFF" w:val="clear"/>
          <w:szCs w:val="20"/>
          <w:iCs w:val="false"/>
          <w:bCs w:val="false"/>
          <w:color w:val="000000"/>
        </w:rPr>
        <w:fldChar w:fldCharType="separate"/>
      </w:r>
      <w:r>
        <w:rPr>
          <w:rStyle w:val="LinkdaInternet"/>
          <w:b w:val="false"/>
          <w:bCs w:val="false"/>
          <w:i w:val="false"/>
          <w:iCs w:val="false"/>
          <w:color w:val="000000"/>
          <w:sz w:val="20"/>
          <w:szCs w:val="20"/>
          <w:shd w:fill="FFFFFF" w:val="clear"/>
        </w:rPr>
        <w:t>artigo 827 do Código Civil.</w:t>
      </w:r>
      <w:r>
        <w:rPr>
          <w:rStyle w:val="LinkdaInternet"/>
          <w:sz w:val="20"/>
          <w:i w:val="false"/>
          <w:b w:val="false"/>
          <w:shd w:fill="FFFFFF" w:val="clear"/>
          <w:szCs w:val="20"/>
          <w:iCs w:val="false"/>
          <w:bCs w:val="false"/>
          <w:color w:val="000000"/>
        </w:rPr>
        <w:fldChar w:fldCharType="end"/>
      </w:r>
    </w:p>
    <w:p>
      <w:pPr>
        <w:pStyle w:val="Nvel2Red"/>
        <w:numPr>
          <w:ilvl w:val="1"/>
          <w:numId w:val="1"/>
        </w:numPr>
        <w:spacing w:lineRule="auto" w:line="240" w:before="0" w:after="0"/>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 xml:space="preserve">No caso de alteração do valor do contrato, ou prorrogação de sua vigência, a garantia deverá ser ajustada ou renovada, seguindo os mesmos parâmetros utilizados quando da contratação. </w:t>
      </w:r>
    </w:p>
    <w:p>
      <w:pPr>
        <w:pStyle w:val="Nvel2Red"/>
        <w:numPr>
          <w:ilvl w:val="1"/>
          <w:numId w:val="1"/>
        </w:numPr>
        <w:spacing w:lineRule="auto" w:line="240" w:before="0" w:after="0"/>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Se o valor da garantia for utilizado total ou parcialmente em pagamento de qualquer obrigação, o Contratado obriga-se a fazer a respectiva reposição no prazo máximo de 10 (dez) dias úteis, contados da data em que for notificada.</w:t>
      </w:r>
    </w:p>
    <w:p>
      <w:pPr>
        <w:pStyle w:val="Nvel2Red"/>
        <w:numPr>
          <w:ilvl w:val="1"/>
          <w:numId w:val="1"/>
        </w:numPr>
        <w:spacing w:lineRule="auto" w:line="240" w:before="0" w:after="0"/>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O Contratante executará a garantia na forma prevista na legislação que rege a matéria.</w:t>
      </w:r>
    </w:p>
    <w:p>
      <w:pPr>
        <w:pStyle w:val="Nvel3R"/>
        <w:widowControl/>
        <w:numPr>
          <w:ilvl w:val="2"/>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b w:val="false"/>
          <w:bCs w:val="false"/>
          <w:i w:val="false"/>
          <w:iCs w:val="false"/>
          <w:color w:val="000000"/>
          <w:sz w:val="20"/>
          <w:szCs w:val="20"/>
          <w:shd w:fill="FFFFFF" w:val="clear"/>
        </w:rPr>
        <w:t>O emitente da garantia ofertada pelo contratado deverá ser notificado pelo contratante quanto ao início de processo administrativo para apuração de descumprimento de cláusulas contratuais (</w:t>
      </w:r>
      <w:r>
        <w:fldChar w:fldCharType="begin"/>
      </w:r>
      <w:r>
        <w:rPr>
          <w:rStyle w:val="LinkdaInternet"/>
          <w:sz w:val="20"/>
          <w:i w:val="false"/>
          <w:b w:val="false"/>
          <w:shd w:fill="FFFFFF" w:val="clear"/>
          <w:szCs w:val="20"/>
          <w:iCs w:val="false"/>
          <w:bCs w:val="false"/>
          <w:color w:val="000000"/>
        </w:rPr>
        <w:instrText> HYPERLINK "http://www.planalto.gov.br/ccivil_03/_ato2019-2022/2021/lei/L14133.htm" \l "art137§4"</w:instrText>
      </w:r>
      <w:r>
        <w:rPr>
          <w:rStyle w:val="LinkdaInternet"/>
          <w:sz w:val="20"/>
          <w:i w:val="false"/>
          <w:b w:val="false"/>
          <w:shd w:fill="FFFFFF" w:val="clear"/>
          <w:szCs w:val="20"/>
          <w:iCs w:val="false"/>
          <w:bCs w:val="false"/>
          <w:color w:val="000000"/>
        </w:rPr>
        <w:fldChar w:fldCharType="separate"/>
      </w:r>
      <w:r>
        <w:rPr>
          <w:rStyle w:val="LinkdaInternet"/>
          <w:b w:val="false"/>
          <w:bCs w:val="false"/>
          <w:i w:val="false"/>
          <w:iCs w:val="false"/>
          <w:color w:val="000000"/>
          <w:sz w:val="20"/>
          <w:szCs w:val="20"/>
          <w:shd w:fill="FFFFFF" w:val="clear"/>
        </w:rPr>
        <w:t>art. 137, § 4º, da Lei n.º 14.133, de 2021</w:t>
      </w:r>
      <w:r>
        <w:rPr>
          <w:rStyle w:val="LinkdaInternet"/>
          <w:sz w:val="20"/>
          <w:i w:val="false"/>
          <w:b w:val="false"/>
          <w:shd w:fill="FFFFFF" w:val="clear"/>
          <w:szCs w:val="20"/>
          <w:iCs w:val="false"/>
          <w:bCs w:val="false"/>
          <w:color w:val="000000"/>
        </w:rPr>
        <w:fldChar w:fldCharType="end"/>
      </w:r>
      <w:r>
        <w:rPr>
          <w:b w:val="false"/>
          <w:bCs w:val="false"/>
          <w:i w:val="false"/>
          <w:iCs w:val="false"/>
          <w:color w:val="000000"/>
          <w:sz w:val="20"/>
          <w:szCs w:val="20"/>
          <w:shd w:fill="FFFFFF" w:val="clear"/>
        </w:rPr>
        <w:t>).</w:t>
      </w:r>
    </w:p>
    <w:p>
      <w:pPr>
        <w:pStyle w:val="Nvel3R"/>
        <w:widowControl/>
        <w:numPr>
          <w:ilvl w:val="2"/>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b w:val="false"/>
          <w:bCs w:val="false"/>
          <w:i w:val="false"/>
          <w:iCs w:val="false"/>
          <w:color w:val="000000"/>
          <w:sz w:val="20"/>
          <w:szCs w:val="20"/>
          <w:shd w:fill="FFFFFF" w:val="clear"/>
        </w:rPr>
        <w:t xml:space="preserve">Caso se trate da modalidade seguro-garantia, ocorrido o sinistro durante a vigência da apólice, sua caracterização e comunicação poderão ocorrer fora desta vigência, não caracterizando fato que justifique a negativa do sinistro, desde que respeitados os prazos prescricionais aplicados ao contrato de seguro, nos termos do </w:t>
      </w:r>
      <w:r>
        <w:fldChar w:fldCharType="begin"/>
      </w:r>
      <w:r>
        <w:rPr>
          <w:rStyle w:val="LinkdaInternet"/>
          <w:sz w:val="20"/>
          <w:i w:val="false"/>
          <w:b w:val="false"/>
          <w:shd w:fill="FFFFFF" w:val="clear"/>
          <w:szCs w:val="20"/>
          <w:iCs w:val="false"/>
          <w:bCs w:val="false"/>
          <w:color w:val="000000"/>
        </w:rPr>
        <w:instrText> HYPERLINK "https://www.in.gov.br/en/web/dou/-/circular-susep-n-662-de-11-de-abril-de-2022-392772088" \l "art20"</w:instrText>
      </w:r>
      <w:r>
        <w:rPr>
          <w:rStyle w:val="LinkdaInternet"/>
          <w:sz w:val="20"/>
          <w:i w:val="false"/>
          <w:b w:val="false"/>
          <w:shd w:fill="FFFFFF" w:val="clear"/>
          <w:szCs w:val="20"/>
          <w:iCs w:val="false"/>
          <w:bCs w:val="false"/>
          <w:color w:val="000000"/>
        </w:rPr>
        <w:fldChar w:fldCharType="separate"/>
      </w:r>
      <w:r>
        <w:rPr>
          <w:rStyle w:val="LinkdaInternet"/>
          <w:b w:val="false"/>
          <w:bCs w:val="false"/>
          <w:i w:val="false"/>
          <w:iCs w:val="false"/>
          <w:color w:val="000000"/>
          <w:sz w:val="20"/>
          <w:szCs w:val="20"/>
          <w:shd w:fill="FFFFFF" w:val="clear"/>
        </w:rPr>
        <w:t>art. 20 da Circular Susep n° 662, de 11 de abril de 2022</w:t>
      </w:r>
      <w:r>
        <w:rPr>
          <w:rStyle w:val="LinkdaInternet"/>
          <w:sz w:val="20"/>
          <w:i w:val="false"/>
          <w:b w:val="false"/>
          <w:shd w:fill="FFFFFF" w:val="clear"/>
          <w:szCs w:val="20"/>
          <w:iCs w:val="false"/>
          <w:bCs w:val="false"/>
          <w:color w:val="000000"/>
        </w:rPr>
        <w:fldChar w:fldCharType="end"/>
      </w:r>
      <w:r>
        <w:rPr>
          <w:b w:val="false"/>
          <w:bCs w:val="false"/>
          <w:i w:val="false"/>
          <w:iCs w:val="false"/>
          <w:color w:val="000000"/>
          <w:sz w:val="20"/>
          <w:szCs w:val="20"/>
          <w:shd w:fill="FFFFFF" w:val="clear"/>
        </w:rPr>
        <w:t>.</w:t>
      </w:r>
    </w:p>
    <w:p>
      <w:pPr>
        <w:pStyle w:val="Nvel2Red"/>
        <w:numPr>
          <w:ilvl w:val="1"/>
          <w:numId w:val="1"/>
        </w:numPr>
        <w:spacing w:lineRule="auto" w:line="240" w:before="0" w:after="0"/>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 xml:space="preserve">Extinguir-se-á a garantia com a restituição da apólice, carta fiança ou autorização para a liberação de importâncias depositadas em dinheiro a título de garantia, acompanhada de declaração do contratante, mediante termo circunstanciado, de que o contratado cumpriu todas as cláusulas do contrato; </w:t>
      </w:r>
    </w:p>
    <w:p>
      <w:pPr>
        <w:pStyle w:val="Nvel2Red"/>
        <w:numPr>
          <w:ilvl w:val="1"/>
          <w:numId w:val="1"/>
        </w:numPr>
        <w:spacing w:lineRule="auto" w:line="240" w:before="0" w:after="0"/>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A garantia somente será liberada ou restituída após a fiel execução do contrato ou após a sua extinção por culpa exclusiva da Administração e, quando em dinheiro, será atualizada monetariamente.</w:t>
      </w:r>
    </w:p>
    <w:p>
      <w:pPr>
        <w:pStyle w:val="Nvel2Red"/>
        <w:numPr>
          <w:ilvl w:val="1"/>
          <w:numId w:val="1"/>
        </w:numPr>
        <w:spacing w:lineRule="auto" w:line="240" w:before="0" w:after="0"/>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 xml:space="preserve">O garantidor não é parte para figurar em processo administrativo instaurado pelo contratante com o objetivo de apurar prejuízos e/ou aplicar sanções à contratada. </w:t>
      </w:r>
    </w:p>
    <w:p>
      <w:pPr>
        <w:pStyle w:val="Nvel2Red"/>
        <w:numPr>
          <w:ilvl w:val="1"/>
          <w:numId w:val="1"/>
        </w:numPr>
        <w:spacing w:lineRule="auto" w:line="240" w:before="0" w:after="0"/>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O contratado autoriza o contratante a reter, a qualquer tempo, a garantia, na forma prevista no Edital e neste Contrato.</w:t>
      </w:r>
    </w:p>
    <w:p>
      <w:pPr>
        <w:pStyle w:val="Nvel2Red"/>
        <w:numPr>
          <w:ilvl w:val="1"/>
          <w:numId w:val="1"/>
        </w:numPr>
        <w:spacing w:lineRule="auto" w:line="240" w:before="0" w:after="0"/>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t>A garantia de execução é independente de eventual garantia do produto ou serviço prevista especificamente no Termo de Referência.</w:t>
      </w:r>
    </w:p>
    <w:p>
      <w:pPr>
        <w:pStyle w:val="Nvel2Red"/>
        <w:numPr>
          <w:ilvl w:val="0"/>
          <w:numId w:val="0"/>
        </w:numPr>
        <w:spacing w:lineRule="auto" w:line="240" w:before="0" w:after="0"/>
        <w:ind w:left="0" w:right="0" w:hanging="0"/>
        <w:rPr>
          <w:rFonts w:ascii="Arial" w:hAnsi="Arial"/>
          <w:b w:val="false"/>
          <w:b w:val="false"/>
          <w:bCs w:val="false"/>
          <w:i w:val="false"/>
          <w:i w:val="false"/>
          <w:iCs w:val="false"/>
          <w:color w:val="000000"/>
          <w:sz w:val="20"/>
          <w:szCs w:val="20"/>
          <w:shd w:fill="FFFFFF" w:val="clear"/>
        </w:rPr>
      </w:pPr>
      <w:r>
        <w:rPr>
          <w:b w:val="false"/>
          <w:bCs w:val="false"/>
          <w:i w:val="false"/>
          <w:iCs w:val="false"/>
          <w:color w:val="000000"/>
          <w:sz w:val="20"/>
          <w:szCs w:val="20"/>
          <w:shd w:fill="FFFFFF" w:val="clear"/>
        </w:rPr>
      </w:r>
    </w:p>
    <w:p>
      <w:pPr>
        <w:pStyle w:val="Nivel01"/>
        <w:numPr>
          <w:ilvl w:val="0"/>
          <w:numId w:val="1"/>
        </w:numPr>
        <w:spacing w:lineRule="auto" w:line="240" w:before="0" w:after="0"/>
        <w:rPr>
          <w:rFonts w:ascii="Arial" w:hAnsi="Arial" w:cs="Arial"/>
          <w:b/>
          <w:b/>
          <w:bCs/>
          <w:color w:val="5B5B5F"/>
          <w:sz w:val="26"/>
          <w:szCs w:val="26"/>
        </w:rPr>
      </w:pPr>
      <w:r>
        <w:rPr>
          <w:sz w:val="20"/>
          <w:szCs w:val="20"/>
        </w:rPr>
        <w:t>CLÁUSULA DÉCIMA SEGUNDA – INFRAÇÕES E SANÇÕES ADMINISTRATIVAS (</w:t>
      </w:r>
      <w:r>
        <w:fldChar w:fldCharType="begin"/>
      </w:r>
      <w:r>
        <w:rPr>
          <w:rStyle w:val="LinkdaInternet"/>
          <w:sz w:val="20"/>
          <w:szCs w:val="20"/>
        </w:rPr>
        <w:instrText> HYPERLINK "http://www.planalto.gov.br/ccivil_03/_ato2019-2022/2021/lei/L14133.htm" \l "art92"</w:instrText>
      </w:r>
      <w:r>
        <w:rPr>
          <w:rStyle w:val="LinkdaInternet"/>
          <w:sz w:val="20"/>
          <w:szCs w:val="20"/>
        </w:rPr>
        <w:fldChar w:fldCharType="separate"/>
      </w:r>
      <w:r>
        <w:rPr>
          <w:rStyle w:val="LinkdaInternet"/>
          <w:sz w:val="20"/>
          <w:szCs w:val="20"/>
        </w:rPr>
        <w:t>art. 92, XIV</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Comete infração administrativa, nos termos da </w:t>
      </w:r>
      <w:hyperlink r:id="rId36">
        <w:r>
          <w:rPr>
            <w:rStyle w:val="LinkdaInternet"/>
            <w:sz w:val="20"/>
            <w:szCs w:val="20"/>
          </w:rPr>
          <w:t>Lei nº 14.133, de 2021</w:t>
        </w:r>
      </w:hyperlink>
      <w:r>
        <w:rPr>
          <w:sz w:val="20"/>
          <w:szCs w:val="20"/>
        </w:rPr>
        <w:t>, o contratado que:</w:t>
      </w:r>
    </w:p>
    <w:p>
      <w:pPr>
        <w:pStyle w:val="Normal"/>
        <w:widowControl/>
        <w:numPr>
          <w:ilvl w:val="2"/>
          <w:numId w:val="4"/>
        </w:numPr>
        <w:suppressAutoHyphens w:val="true"/>
        <w:overflowPunct w:val="true"/>
        <w:bidi w:val="0"/>
        <w:spacing w:lineRule="auto" w:line="240" w:before="0" w:after="0"/>
        <w:ind w:left="0" w:right="0" w:firstLine="567"/>
        <w:jc w:val="both"/>
        <w:rPr>
          <w:rFonts w:ascii="Arial" w:hAnsi="Arial" w:eastAsia="Arial" w:cs="Arial"/>
          <w:sz w:val="20"/>
          <w:szCs w:val="20"/>
        </w:rPr>
      </w:pPr>
      <w:r>
        <w:rPr>
          <w:rFonts w:eastAsia="Arial" w:cs="Arial"/>
          <w:sz w:val="20"/>
          <w:szCs w:val="20"/>
        </w:rPr>
        <w:t>der causa à inexecução parcial do contrato;</w:t>
      </w:r>
    </w:p>
    <w:p>
      <w:pPr>
        <w:pStyle w:val="Normal"/>
        <w:widowControl/>
        <w:numPr>
          <w:ilvl w:val="2"/>
          <w:numId w:val="4"/>
        </w:numPr>
        <w:suppressAutoHyphens w:val="true"/>
        <w:overflowPunct w:val="true"/>
        <w:bidi w:val="0"/>
        <w:spacing w:lineRule="auto" w:line="240" w:before="0" w:after="0"/>
        <w:ind w:left="57" w:right="0" w:firstLine="567"/>
        <w:jc w:val="both"/>
        <w:rPr>
          <w:rFonts w:ascii="Arial" w:hAnsi="Arial" w:eastAsia="Arial" w:cs="Arial"/>
          <w:sz w:val="20"/>
          <w:szCs w:val="20"/>
        </w:rPr>
      </w:pPr>
      <w:r>
        <w:rPr>
          <w:rFonts w:eastAsia="Arial" w:cs="Arial"/>
          <w:sz w:val="20"/>
          <w:szCs w:val="20"/>
        </w:rPr>
        <w:t>der causa à inexecução parcial do contrato que cause grave dano à Administração ou ao funcionamento dos serviços públicos ou ao interesse coletivo;</w:t>
      </w:r>
    </w:p>
    <w:p>
      <w:pPr>
        <w:pStyle w:val="Normal"/>
        <w:widowControl/>
        <w:numPr>
          <w:ilvl w:val="2"/>
          <w:numId w:val="4"/>
        </w:numPr>
        <w:suppressAutoHyphens w:val="true"/>
        <w:overflowPunct w:val="true"/>
        <w:bidi w:val="0"/>
        <w:spacing w:lineRule="auto" w:line="240" w:before="0" w:after="0"/>
        <w:ind w:left="0" w:right="0" w:firstLine="567"/>
        <w:jc w:val="both"/>
        <w:rPr>
          <w:rFonts w:ascii="Arial" w:hAnsi="Arial" w:eastAsia="Arial" w:cs="Arial"/>
          <w:sz w:val="20"/>
          <w:szCs w:val="20"/>
        </w:rPr>
      </w:pPr>
      <w:r>
        <w:rPr>
          <w:rFonts w:eastAsia="Arial" w:cs="Arial"/>
          <w:sz w:val="20"/>
          <w:szCs w:val="20"/>
        </w:rPr>
        <w:t>der causa à inexecução total do contrato;</w:t>
      </w:r>
    </w:p>
    <w:p>
      <w:pPr>
        <w:pStyle w:val="Normal"/>
        <w:widowControl/>
        <w:numPr>
          <w:ilvl w:val="2"/>
          <w:numId w:val="4"/>
        </w:numPr>
        <w:suppressAutoHyphens w:val="true"/>
        <w:overflowPunct w:val="true"/>
        <w:bidi w:val="0"/>
        <w:spacing w:lineRule="auto" w:line="240" w:before="0" w:after="0"/>
        <w:ind w:left="0" w:right="0" w:firstLine="567"/>
        <w:jc w:val="both"/>
        <w:rPr>
          <w:rFonts w:ascii="Arial" w:hAnsi="Arial" w:eastAsia="Arial" w:cs="Arial"/>
          <w:sz w:val="20"/>
          <w:szCs w:val="20"/>
        </w:rPr>
      </w:pPr>
      <w:r>
        <w:rPr>
          <w:rFonts w:eastAsia="Arial" w:cs="Arial"/>
          <w:sz w:val="20"/>
          <w:szCs w:val="20"/>
        </w:rPr>
        <w:t>ensejar o retardamento da execução ou da entrega do objeto da contratação sem motivo justificado;</w:t>
      </w:r>
    </w:p>
    <w:p>
      <w:pPr>
        <w:pStyle w:val="Normal"/>
        <w:widowControl/>
        <w:numPr>
          <w:ilvl w:val="2"/>
          <w:numId w:val="4"/>
        </w:numPr>
        <w:suppressAutoHyphens w:val="true"/>
        <w:overflowPunct w:val="true"/>
        <w:bidi w:val="0"/>
        <w:spacing w:lineRule="auto" w:line="240" w:before="0" w:after="0"/>
        <w:ind w:left="0" w:right="0" w:firstLine="567"/>
        <w:jc w:val="both"/>
        <w:rPr>
          <w:rFonts w:ascii="Arial" w:hAnsi="Arial" w:eastAsia="Arial" w:cs="Arial"/>
          <w:sz w:val="20"/>
          <w:szCs w:val="20"/>
        </w:rPr>
      </w:pPr>
      <w:r>
        <w:rPr>
          <w:rFonts w:eastAsia="Arial" w:cs="Arial"/>
          <w:sz w:val="20"/>
          <w:szCs w:val="20"/>
        </w:rPr>
        <w:t>apresentar documentação falsa ou prestar declaração falsa durante a execução do contrato;</w:t>
      </w:r>
    </w:p>
    <w:p>
      <w:pPr>
        <w:pStyle w:val="Normal"/>
        <w:widowControl/>
        <w:numPr>
          <w:ilvl w:val="2"/>
          <w:numId w:val="4"/>
        </w:numPr>
        <w:suppressAutoHyphens w:val="true"/>
        <w:overflowPunct w:val="true"/>
        <w:bidi w:val="0"/>
        <w:spacing w:lineRule="auto" w:line="240" w:before="0" w:after="0"/>
        <w:ind w:left="0" w:right="0" w:firstLine="567"/>
        <w:jc w:val="both"/>
        <w:rPr>
          <w:rFonts w:ascii="Arial" w:hAnsi="Arial" w:eastAsia="Arial" w:cs="Arial"/>
          <w:sz w:val="20"/>
          <w:szCs w:val="20"/>
        </w:rPr>
      </w:pPr>
      <w:r>
        <w:rPr>
          <w:rFonts w:eastAsia="Arial" w:cs="Arial"/>
          <w:sz w:val="20"/>
          <w:szCs w:val="20"/>
        </w:rPr>
        <w:t>praticar ato fraudulento na execução do contrato;</w:t>
      </w:r>
    </w:p>
    <w:p>
      <w:pPr>
        <w:pStyle w:val="Normal"/>
        <w:widowControl/>
        <w:numPr>
          <w:ilvl w:val="2"/>
          <w:numId w:val="4"/>
        </w:numPr>
        <w:suppressAutoHyphens w:val="true"/>
        <w:overflowPunct w:val="true"/>
        <w:bidi w:val="0"/>
        <w:spacing w:lineRule="auto" w:line="240" w:before="0" w:after="0"/>
        <w:ind w:left="0" w:right="0" w:firstLine="567"/>
        <w:jc w:val="both"/>
        <w:rPr>
          <w:rFonts w:ascii="Arial" w:hAnsi="Arial" w:eastAsia="Arial" w:cs="Arial"/>
          <w:sz w:val="20"/>
          <w:szCs w:val="20"/>
        </w:rPr>
      </w:pPr>
      <w:r>
        <w:rPr>
          <w:rFonts w:eastAsia="Arial" w:cs="Arial"/>
          <w:sz w:val="20"/>
          <w:szCs w:val="20"/>
        </w:rPr>
        <w:t>comportar-se de modo inidôneo ou cometer fraude de qualquer natureza;</w:t>
      </w:r>
    </w:p>
    <w:p>
      <w:pPr>
        <w:pStyle w:val="Normal"/>
        <w:widowControl/>
        <w:numPr>
          <w:ilvl w:val="2"/>
          <w:numId w:val="4"/>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rFonts w:eastAsia="Arial" w:cs="Arial"/>
          <w:sz w:val="20"/>
          <w:szCs w:val="20"/>
        </w:rPr>
        <w:t xml:space="preserve">praticar ato lesivo previsto no </w:t>
      </w:r>
      <w:r>
        <w:fldChar w:fldCharType="begin"/>
      </w:r>
      <w:r>
        <w:rPr>
          <w:rStyle w:val="LinkdaInternet"/>
          <w:sz w:val="20"/>
          <w:szCs w:val="20"/>
          <w:rFonts w:eastAsia="Arial" w:cs="Arial"/>
        </w:rPr>
        <w:instrText> HYPERLINK "https://www.planalto.gov.br/ccivil_03/_ato2011-2014/2013/lei/l12846.htm" \l "art5"</w:instrText>
      </w:r>
      <w:r>
        <w:rPr>
          <w:rStyle w:val="LinkdaInternet"/>
          <w:sz w:val="20"/>
          <w:szCs w:val="20"/>
          <w:rFonts w:eastAsia="Arial" w:cs="Arial"/>
        </w:rPr>
        <w:fldChar w:fldCharType="separate"/>
      </w:r>
      <w:r>
        <w:rPr>
          <w:rStyle w:val="LinkdaInternet"/>
          <w:rFonts w:eastAsia="Arial" w:cs="Arial"/>
          <w:sz w:val="20"/>
          <w:szCs w:val="20"/>
        </w:rPr>
        <w:t>art. 5º da Lei nº 12.846, de 1º de agosto de 2013</w:t>
      </w:r>
      <w:r>
        <w:rPr>
          <w:rStyle w:val="LinkdaInternet"/>
          <w:sz w:val="20"/>
          <w:szCs w:val="20"/>
          <w:rFonts w:eastAsia="Arial" w:cs="Arial"/>
        </w:rPr>
        <w:fldChar w:fldCharType="end"/>
      </w:r>
      <w:r>
        <w:rPr>
          <w:rFonts w:eastAsia="Arial" w:cs="Arial"/>
          <w:sz w:val="20"/>
          <w:szCs w:val="20"/>
        </w:rPr>
        <w:t>.</w:t>
      </w:r>
    </w:p>
    <w:p>
      <w:pPr>
        <w:pStyle w:val="Nivel2"/>
        <w:numPr>
          <w:ilvl w:val="1"/>
          <w:numId w:val="1"/>
        </w:numPr>
        <w:spacing w:lineRule="auto" w:line="240" w:before="0" w:after="0"/>
        <w:rPr>
          <w:rFonts w:ascii="Arial" w:hAnsi="Arial"/>
          <w:sz w:val="20"/>
          <w:szCs w:val="20"/>
        </w:rPr>
      </w:pPr>
      <w:r>
        <w:rPr>
          <w:sz w:val="20"/>
          <w:szCs w:val="20"/>
        </w:rPr>
        <w:t>Serão aplicadas ao contratado que incorrer nas infrações acima descritas as seguintes sanções:</w:t>
      </w:r>
    </w:p>
    <w:p>
      <w:pPr>
        <w:pStyle w:val="Normal"/>
        <w:widowControl/>
        <w:numPr>
          <w:ilvl w:val="2"/>
          <w:numId w:val="5"/>
        </w:numPr>
        <w:suppressAutoHyphens w:val="true"/>
        <w:overflowPunct w:val="true"/>
        <w:bidi w:val="0"/>
        <w:spacing w:lineRule="auto" w:line="240" w:before="0" w:after="0"/>
        <w:ind w:left="0" w:right="0" w:firstLine="794"/>
        <w:jc w:val="both"/>
        <w:rPr>
          <w:rFonts w:ascii="Arial" w:hAnsi="Arial" w:cs="Arial"/>
          <w:b/>
          <w:b/>
          <w:bCs/>
          <w:color w:val="5B5B5F"/>
          <w:sz w:val="26"/>
          <w:szCs w:val="26"/>
        </w:rPr>
      </w:pPr>
      <w:r>
        <w:rPr>
          <w:rFonts w:eastAsia="Arial" w:cs="Arial"/>
          <w:b/>
          <w:bCs/>
          <w:sz w:val="20"/>
          <w:szCs w:val="20"/>
        </w:rPr>
        <w:t>Advertência</w:t>
      </w:r>
      <w:r>
        <w:rPr>
          <w:rFonts w:eastAsia="Arial" w:cs="Arial"/>
          <w:sz w:val="20"/>
          <w:szCs w:val="20"/>
        </w:rPr>
        <w:t>, quando o contratado der causa à inexecução parcial do contrato, sempre que não se justificar a imposição de penalidade mais grave (</w:t>
      </w:r>
      <w:r>
        <w:fldChar w:fldCharType="begin"/>
      </w:r>
      <w:r>
        <w:rPr>
          <w:rStyle w:val="LinkdaInternet"/>
          <w:sz w:val="20"/>
          <w:szCs w:val="20"/>
          <w:rFonts w:eastAsia="Arial" w:cs="Arial"/>
        </w:rPr>
        <w:instrText> HYPERLINK "http://www.planalto.gov.br/ccivil_03/_ato2019-2022/2021/lei/L14133.htm" \l "art156§2"</w:instrText>
      </w:r>
      <w:r>
        <w:rPr>
          <w:rStyle w:val="LinkdaInternet"/>
          <w:sz w:val="20"/>
          <w:szCs w:val="20"/>
          <w:rFonts w:eastAsia="Arial" w:cs="Arial"/>
        </w:rPr>
        <w:fldChar w:fldCharType="separate"/>
      </w:r>
      <w:r>
        <w:rPr>
          <w:rStyle w:val="LinkdaInternet"/>
          <w:rFonts w:eastAsia="Arial" w:cs="Arial"/>
          <w:sz w:val="20"/>
          <w:szCs w:val="20"/>
        </w:rPr>
        <w:t xml:space="preserve">art. 156, §2º, da </w:t>
      </w:r>
      <w:r>
        <w:rPr>
          <w:rStyle w:val="LinkdaInternet"/>
          <w:sz w:val="20"/>
          <w:szCs w:val="20"/>
          <w:rFonts w:eastAsia="Arial" w:cs="Arial"/>
        </w:rPr>
        <w:fldChar w:fldCharType="end"/>
      </w:r>
      <w:bookmarkStart w:id="57" w:name="_Hlk114504069"/>
      <w:r>
        <w:rPr>
          <w:rStyle w:val="LinkdaInternet"/>
          <w:rFonts w:eastAsia="Arial" w:cs="Arial"/>
          <w:sz w:val="20"/>
          <w:szCs w:val="20"/>
        </w:rPr>
        <w:t>Lei nº 14.133, de 2021</w:t>
      </w:r>
      <w:bookmarkEnd w:id="57"/>
      <w:r>
        <w:rPr>
          <w:rFonts w:eastAsia="Arial" w:cs="Arial"/>
          <w:sz w:val="20"/>
          <w:szCs w:val="20"/>
        </w:rPr>
        <w:t>);</w:t>
      </w:r>
    </w:p>
    <w:p>
      <w:pPr>
        <w:pStyle w:val="Normal"/>
        <w:widowControl/>
        <w:numPr>
          <w:ilvl w:val="2"/>
          <w:numId w:val="5"/>
        </w:numPr>
        <w:suppressAutoHyphens w:val="true"/>
        <w:overflowPunct w:val="true"/>
        <w:bidi w:val="0"/>
        <w:spacing w:lineRule="auto" w:line="240" w:before="0" w:after="0"/>
        <w:ind w:left="0" w:right="0" w:firstLine="794"/>
        <w:jc w:val="both"/>
        <w:rPr>
          <w:rFonts w:ascii="Arial" w:hAnsi="Arial" w:cs="Arial"/>
          <w:b/>
          <w:b/>
          <w:bCs/>
          <w:color w:val="5B5B5F"/>
          <w:sz w:val="26"/>
          <w:szCs w:val="26"/>
        </w:rPr>
      </w:pPr>
      <w:r>
        <w:rPr>
          <w:rFonts w:eastAsia="Arial" w:cs="Arial"/>
          <w:b/>
          <w:bCs/>
          <w:sz w:val="20"/>
          <w:szCs w:val="20"/>
        </w:rPr>
        <w:t>Impedimento de licitar e contratar</w:t>
      </w:r>
      <w:r>
        <w:rPr>
          <w:rFonts w:eastAsia="Arial" w:cs="Arial"/>
          <w:sz w:val="20"/>
          <w:szCs w:val="20"/>
        </w:rPr>
        <w:t>, quando praticadas as condutas descritas nas alíneas “b”, “c” e “d” do subitem acima deste Contrato, sempre que não se justificar a imposição de penalidade mais grave (</w:t>
      </w:r>
      <w:r>
        <w:fldChar w:fldCharType="begin"/>
      </w:r>
      <w:r>
        <w:rPr>
          <w:rStyle w:val="LinkdaInternet"/>
          <w:sz w:val="20"/>
          <w:szCs w:val="20"/>
          <w:rFonts w:eastAsia="Arial" w:cs="Arial"/>
        </w:rPr>
        <w:instrText> HYPERLINK "http://www.planalto.gov.br/ccivil_03/_ato2019-2022/2021/lei/L14133.htm" \l "art156§4"</w:instrText>
      </w:r>
      <w:r>
        <w:rPr>
          <w:rStyle w:val="LinkdaInternet"/>
          <w:sz w:val="20"/>
          <w:szCs w:val="20"/>
          <w:rFonts w:eastAsia="Arial" w:cs="Arial"/>
        </w:rPr>
        <w:fldChar w:fldCharType="separate"/>
      </w:r>
      <w:r>
        <w:rPr>
          <w:rStyle w:val="LinkdaInternet"/>
          <w:rFonts w:eastAsia="Arial" w:cs="Arial"/>
          <w:sz w:val="20"/>
          <w:szCs w:val="20"/>
        </w:rPr>
        <w:t>art. 156, § 4º, da Lei nº 14.133, de 2021</w:t>
      </w:r>
      <w:r>
        <w:rPr>
          <w:rStyle w:val="LinkdaInternet"/>
          <w:sz w:val="20"/>
          <w:szCs w:val="20"/>
          <w:rFonts w:eastAsia="Arial" w:cs="Arial"/>
        </w:rPr>
        <w:fldChar w:fldCharType="end"/>
      </w:r>
      <w:r>
        <w:rPr>
          <w:rFonts w:eastAsia="Arial" w:cs="Arial"/>
          <w:sz w:val="20"/>
          <w:szCs w:val="20"/>
        </w:rPr>
        <w:t>);</w:t>
      </w:r>
    </w:p>
    <w:p>
      <w:pPr>
        <w:pStyle w:val="Normal"/>
        <w:widowControl/>
        <w:numPr>
          <w:ilvl w:val="2"/>
          <w:numId w:val="5"/>
        </w:numPr>
        <w:suppressAutoHyphens w:val="true"/>
        <w:overflowPunct w:val="true"/>
        <w:bidi w:val="0"/>
        <w:spacing w:lineRule="auto" w:line="240" w:before="0" w:after="0"/>
        <w:ind w:left="0" w:right="0" w:firstLine="794"/>
        <w:jc w:val="both"/>
        <w:rPr>
          <w:rFonts w:ascii="Arial" w:hAnsi="Arial" w:cs="Arial"/>
          <w:b/>
          <w:b/>
          <w:bCs/>
          <w:color w:val="5B5B5F"/>
          <w:sz w:val="26"/>
          <w:szCs w:val="26"/>
        </w:rPr>
      </w:pPr>
      <w:r>
        <w:rPr>
          <w:rFonts w:eastAsia="Arial" w:cs="Arial"/>
          <w:b/>
          <w:bCs/>
          <w:sz w:val="20"/>
          <w:szCs w:val="20"/>
        </w:rPr>
        <w:t>Declaração de inidoneidade para licitar e contratar</w:t>
      </w:r>
      <w:r>
        <w:rPr>
          <w:rFonts w:eastAsia="Arial" w:cs="Arial"/>
          <w:sz w:val="20"/>
          <w:szCs w:val="20"/>
        </w:rPr>
        <w:t>, quando praticadas as condutas descritas nas alíneas “e”, “f”, “g” e “h” do subitem acima deste Contrato, bem como nas alíneas “b”, “c” e “d”, que justifiquem a imposição de penalidade mais grave (</w:t>
      </w:r>
      <w:r>
        <w:fldChar w:fldCharType="begin"/>
      </w:r>
      <w:r>
        <w:rPr>
          <w:rStyle w:val="LinkdaInternet"/>
          <w:sz w:val="20"/>
          <w:szCs w:val="20"/>
          <w:rFonts w:eastAsia="Arial" w:cs="Arial"/>
        </w:rPr>
        <w:instrText> HYPERLINK "http://www.planalto.gov.br/ccivil_03/_ato2019-2022/2021/lei/L14133.htm" \l "art156§5"</w:instrText>
      </w:r>
      <w:r>
        <w:rPr>
          <w:rStyle w:val="LinkdaInternet"/>
          <w:sz w:val="20"/>
          <w:szCs w:val="20"/>
          <w:rFonts w:eastAsia="Arial" w:cs="Arial"/>
        </w:rPr>
        <w:fldChar w:fldCharType="separate"/>
      </w:r>
      <w:r>
        <w:rPr>
          <w:rStyle w:val="LinkdaInternet"/>
          <w:rFonts w:eastAsia="Arial" w:cs="Arial"/>
          <w:sz w:val="20"/>
          <w:szCs w:val="20"/>
        </w:rPr>
        <w:t>art. 156, §5º, da Lei nº 14.133, de 2021</w:t>
      </w:r>
      <w:r>
        <w:rPr>
          <w:rStyle w:val="LinkdaInternet"/>
          <w:sz w:val="20"/>
          <w:szCs w:val="20"/>
          <w:rFonts w:eastAsia="Arial" w:cs="Arial"/>
        </w:rPr>
        <w:fldChar w:fldCharType="end"/>
      </w:r>
      <w:r>
        <w:rPr>
          <w:rFonts w:eastAsia="Arial" w:cs="Arial"/>
          <w:sz w:val="20"/>
          <w:szCs w:val="20"/>
        </w:rPr>
        <w:t>).</w:t>
      </w:r>
    </w:p>
    <w:p>
      <w:pPr>
        <w:pStyle w:val="Normal"/>
        <w:widowControl/>
        <w:numPr>
          <w:ilvl w:val="2"/>
          <w:numId w:val="5"/>
        </w:numPr>
        <w:suppressAutoHyphens w:val="true"/>
        <w:overflowPunct w:val="true"/>
        <w:bidi w:val="0"/>
        <w:spacing w:lineRule="auto" w:line="240" w:before="0" w:after="0"/>
        <w:ind w:left="0" w:right="0" w:firstLine="794"/>
        <w:jc w:val="both"/>
        <w:rPr>
          <w:rFonts w:ascii="Arial" w:hAnsi="Arial" w:eastAsia="Arial" w:cs="Arial"/>
          <w:b/>
          <w:b/>
          <w:bCs/>
          <w:sz w:val="20"/>
          <w:szCs w:val="20"/>
        </w:rPr>
      </w:pPr>
      <w:r>
        <w:rPr>
          <w:rFonts w:eastAsia="Arial" w:cs="Arial"/>
          <w:b/>
          <w:bCs/>
          <w:sz w:val="20"/>
          <w:szCs w:val="20"/>
        </w:rPr>
        <w:t>Multa:</w:t>
      </w:r>
    </w:p>
    <w:p>
      <w:pPr>
        <w:pStyle w:val="Normal"/>
        <w:widowControl/>
        <w:numPr>
          <w:ilvl w:val="8"/>
          <w:numId w:val="5"/>
        </w:numPr>
        <w:suppressAutoHyphens w:val="true"/>
        <w:overflowPunct w:val="true"/>
        <w:bidi w:val="0"/>
        <w:spacing w:lineRule="auto" w:line="240" w:before="0" w:after="0"/>
        <w:ind w:left="0" w:right="0" w:firstLine="1361"/>
        <w:jc w:val="both"/>
        <w:rPr>
          <w:rFonts w:ascii="Arial" w:hAnsi="Arial"/>
          <w:sz w:val="20"/>
          <w:szCs w:val="20"/>
        </w:rPr>
      </w:pPr>
      <w:r>
        <w:rPr>
          <w:rFonts w:eastAsia="Arial" w:cs="Arial"/>
          <w:color w:val="000000"/>
          <w:sz w:val="20"/>
          <w:szCs w:val="20"/>
          <w:shd w:fill="FFFFFF" w:val="clear"/>
        </w:rPr>
        <w:t xml:space="preserve">Moratória de 1,00% (um por cento) por dia de atraso injustificado sobre o valor da parcela inadimplida, até o limite de 30(trinta) </w:t>
      </w:r>
      <w:commentRangeStart w:id="45"/>
      <w:r>
        <w:rPr>
          <w:rFonts w:eastAsia="Arial" w:cs="Arial"/>
          <w:color w:val="000000"/>
          <w:sz w:val="20"/>
          <w:szCs w:val="20"/>
          <w:shd w:fill="FFFFFF" w:val="clear"/>
        </w:rPr>
        <w:t>dias</w:t>
      </w:r>
      <w:r>
        <w:rPr>
          <w:rFonts w:eastAsia="Arial" w:cs="Arial"/>
          <w:color w:val="000000"/>
          <w:sz w:val="20"/>
          <w:szCs w:val="20"/>
          <w:shd w:fill="FFFFFF" w:val="clear"/>
        </w:rPr>
      </w:r>
      <w:commentRangeEnd w:id="45"/>
      <w:r>
        <w:commentReference w:id="45"/>
      </w:r>
      <w:r>
        <w:rPr>
          <w:rFonts w:eastAsia="Arial" w:cs="Arial"/>
          <w:color w:val="000000"/>
          <w:sz w:val="20"/>
          <w:szCs w:val="20"/>
          <w:shd w:fill="FFFFFF" w:val="clear"/>
        </w:rPr>
        <w:t>;</w:t>
      </w:r>
    </w:p>
    <w:p>
      <w:pPr>
        <w:pStyle w:val="Normal"/>
        <w:widowControl/>
        <w:numPr>
          <w:ilvl w:val="3"/>
          <w:numId w:val="5"/>
        </w:numPr>
        <w:suppressAutoHyphens w:val="true"/>
        <w:overflowPunct w:val="true"/>
        <w:bidi w:val="0"/>
        <w:spacing w:lineRule="auto" w:line="240" w:before="0" w:after="0"/>
        <w:ind w:left="0" w:right="0" w:firstLine="1361"/>
        <w:jc w:val="both"/>
        <w:rPr>
          <w:rFonts w:ascii="Arial" w:hAnsi="Arial"/>
          <w:sz w:val="20"/>
          <w:szCs w:val="20"/>
        </w:rPr>
      </w:pPr>
      <w:r>
        <w:rPr>
          <w:rFonts w:eastAsia="Arial" w:cs="Arial"/>
          <w:i/>
          <w:iCs/>
          <w:color w:val="000000"/>
          <w:sz w:val="20"/>
          <w:szCs w:val="20"/>
          <w:shd w:fill="FFFFFF" w:val="clear"/>
        </w:rPr>
        <w:t>M</w:t>
      </w:r>
      <w:commentRangeStart w:id="46"/>
      <w:r>
        <w:rPr>
          <w:rFonts w:eastAsia="Arial" w:cs="Arial"/>
          <w:i/>
          <w:iCs/>
          <w:color w:val="000000"/>
          <w:sz w:val="20"/>
          <w:szCs w:val="20"/>
          <w:shd w:fill="FFFFFF" w:val="clear"/>
        </w:rPr>
        <w:t xml:space="preserve">oratória de 0,07% (sete centésimos por cento) do valor total do contrato por dia de atraso injustificado, até o máximo de 2% (dois por cento), pela inobservância do prazo fixado para apresentação, suplementação ou reposição da garantia. </w:t>
      </w:r>
    </w:p>
    <w:p>
      <w:pPr>
        <w:pStyle w:val="Normal"/>
        <w:widowControl/>
        <w:numPr>
          <w:ilvl w:val="7"/>
          <w:numId w:val="5"/>
        </w:numPr>
        <w:tabs>
          <w:tab w:val="clear" w:pos="708"/>
          <w:tab w:val="left" w:pos="907" w:leader="none"/>
        </w:tabs>
        <w:suppressAutoHyphens w:val="true"/>
        <w:overflowPunct w:val="true"/>
        <w:bidi w:val="0"/>
        <w:spacing w:lineRule="auto" w:line="240" w:before="0" w:after="0"/>
        <w:ind w:left="0" w:right="0" w:firstLine="1814"/>
        <w:jc w:val="both"/>
        <w:rPr>
          <w:rFonts w:ascii="Arial" w:hAnsi="Arial" w:cs="Arial"/>
          <w:b/>
          <w:b/>
          <w:bCs/>
          <w:color w:val="5B5B5F"/>
          <w:sz w:val="26"/>
          <w:szCs w:val="26"/>
        </w:rPr>
      </w:pPr>
      <w:r>
        <w:rPr>
          <w:rFonts w:eastAsia="Arial" w:cs="Arial"/>
          <w:i/>
          <w:iCs/>
          <w:color w:val="000000"/>
          <w:sz w:val="20"/>
          <w:szCs w:val="20"/>
          <w:shd w:fill="FFFFFF" w:val="clear"/>
        </w:rPr>
        <w:t>O atraso superior a 25 (vinte e cinco) dias autoriza a Administração a promover a extinção do contrato por descumprimento ou cumprimento irregular de suas cláusulas, conforme dispõe o</w:t>
      </w:r>
      <w:r>
        <w:rPr>
          <w:rFonts w:eastAsia="Arial" w:cs="Arial"/>
          <w:i/>
          <w:iCs/>
          <w:color w:val="FF0000"/>
          <w:sz w:val="20"/>
          <w:szCs w:val="20"/>
          <w:shd w:fill="FFFFFF" w:val="clear"/>
        </w:rPr>
        <w:t xml:space="preserve"> </w:t>
      </w:r>
      <w:r>
        <w:fldChar w:fldCharType="begin"/>
      </w:r>
      <w:r>
        <w:rPr>
          <w:rStyle w:val="LinkdaInternet"/>
          <w:sz w:val="20"/>
          <w:i/>
          <w:shd w:fill="FFFFFF" w:val="clear"/>
          <w:szCs w:val="20"/>
          <w:iCs/>
          <w:rFonts w:eastAsia="Arial" w:cs="Arial"/>
        </w:rPr>
        <w:instrText> HYPERLINK "http://www.planalto.gov.br/ccivil_03/_ato2019-2022/2021/lei/L14133.htm" \l "art137"</w:instrText>
      </w:r>
      <w:r>
        <w:rPr>
          <w:rStyle w:val="LinkdaInternet"/>
          <w:sz w:val="20"/>
          <w:i/>
          <w:shd w:fill="FFFFFF" w:val="clear"/>
          <w:szCs w:val="20"/>
          <w:iCs/>
          <w:rFonts w:eastAsia="Arial" w:cs="Arial"/>
        </w:rPr>
        <w:fldChar w:fldCharType="separate"/>
      </w:r>
      <w:r>
        <w:rPr>
          <w:rStyle w:val="LinkdaInternet"/>
          <w:rFonts w:eastAsia="Arial" w:cs="Arial"/>
          <w:i/>
          <w:iCs/>
          <w:sz w:val="20"/>
          <w:szCs w:val="20"/>
          <w:shd w:fill="FFFFFF" w:val="clear"/>
        </w:rPr>
        <w:t>inciso I do art. 137 da Lei n. 14.133, de 2021</w:t>
      </w:r>
      <w:r>
        <w:rPr>
          <w:rStyle w:val="LinkdaInternet"/>
          <w:sz w:val="20"/>
          <w:i/>
          <w:shd w:fill="FFFFFF" w:val="clear"/>
          <w:szCs w:val="20"/>
          <w:iCs/>
          <w:rFonts w:eastAsia="Arial" w:cs="Arial"/>
        </w:rPr>
        <w:fldChar w:fldCharType="end"/>
      </w:r>
      <w:r>
        <w:rPr>
          <w:rFonts w:eastAsia="Arial" w:cs="Arial"/>
          <w:i/>
          <w:iCs/>
          <w:color w:val="FF0000"/>
          <w:sz w:val="20"/>
          <w:szCs w:val="20"/>
          <w:shd w:fill="FFFFFF" w:val="clear"/>
        </w:rPr>
        <w:t xml:space="preserve">. </w:t>
      </w:r>
      <w:commentRangeEnd w:id="46"/>
      <w:r>
        <w:commentReference w:id="46"/>
      </w:r>
      <w:r>
        <w:rPr>
          <w:rFonts w:eastAsia="Arial" w:cs="Arial"/>
          <w:i/>
          <w:iCs/>
          <w:color w:val="FF0000"/>
          <w:sz w:val="20"/>
          <w:szCs w:val="20"/>
          <w:shd w:fill="FFFFFF" w:val="clear"/>
        </w:rPr>
      </w:r>
    </w:p>
    <w:p>
      <w:pPr>
        <w:pStyle w:val="Normal"/>
        <w:widowControl/>
        <w:numPr>
          <w:ilvl w:val="3"/>
          <w:numId w:val="5"/>
        </w:numPr>
        <w:suppressAutoHyphens w:val="true"/>
        <w:overflowPunct w:val="true"/>
        <w:bidi w:val="0"/>
        <w:spacing w:lineRule="auto" w:line="240" w:before="0" w:after="0"/>
        <w:ind w:left="0" w:right="0" w:firstLine="1474"/>
        <w:jc w:val="both"/>
        <w:rPr>
          <w:rFonts w:ascii="Arial" w:hAnsi="Arial"/>
          <w:sz w:val="20"/>
          <w:szCs w:val="20"/>
        </w:rPr>
      </w:pPr>
      <w:commentRangeStart w:id="47"/>
      <w:r>
        <w:rPr>
          <w:rFonts w:eastAsia="Arial" w:cs="Arial"/>
          <w:sz w:val="20"/>
          <w:szCs w:val="20"/>
        </w:rPr>
        <w:t>Compensatória, para as infrações descritas nas alíneas “e” a “h” do subitem 12.1, de 15% a 30% do valor do Contrato.</w:t>
      </w:r>
    </w:p>
    <w:p>
      <w:pPr>
        <w:pStyle w:val="Normal"/>
        <w:widowControl/>
        <w:numPr>
          <w:ilvl w:val="3"/>
          <w:numId w:val="5"/>
        </w:numPr>
        <w:suppressAutoHyphens w:val="true"/>
        <w:overflowPunct w:val="true"/>
        <w:bidi w:val="0"/>
        <w:spacing w:lineRule="auto" w:line="240" w:before="0" w:after="0"/>
        <w:ind w:left="0" w:right="0" w:firstLine="1474"/>
        <w:jc w:val="both"/>
        <w:rPr>
          <w:rFonts w:ascii="Arial" w:hAnsi="Arial" w:eastAsia="Arial" w:cs="Arial"/>
          <w:sz w:val="20"/>
          <w:szCs w:val="20"/>
        </w:rPr>
      </w:pPr>
      <w:r>
        <w:rPr>
          <w:rFonts w:eastAsia="Arial" w:cs="Arial"/>
          <w:sz w:val="20"/>
          <w:szCs w:val="20"/>
        </w:rPr>
        <w:t xml:space="preserve">Compensatória, para a inexecução total do contrato prevista na alínea “c” do subitem 12.1, de 15% a 30%  do valor do Contrato. </w:t>
      </w:r>
    </w:p>
    <w:p>
      <w:pPr>
        <w:pStyle w:val="Normal"/>
        <w:widowControl/>
        <w:numPr>
          <w:ilvl w:val="3"/>
          <w:numId w:val="5"/>
        </w:numPr>
        <w:suppressAutoHyphens w:val="true"/>
        <w:overflowPunct w:val="true"/>
        <w:bidi w:val="0"/>
        <w:spacing w:lineRule="auto" w:line="240" w:before="0" w:after="0"/>
        <w:ind w:left="0" w:right="0" w:firstLine="1474"/>
        <w:jc w:val="both"/>
        <w:rPr>
          <w:rFonts w:ascii="Arial" w:hAnsi="Arial" w:eastAsia="Arial" w:cs="Arial"/>
          <w:sz w:val="20"/>
          <w:szCs w:val="20"/>
        </w:rPr>
      </w:pPr>
      <w:r>
        <w:rPr>
          <w:rFonts w:eastAsia="Arial" w:cs="Arial"/>
          <w:sz w:val="20"/>
          <w:szCs w:val="20"/>
        </w:rPr>
        <w:t>Para infração descrita na alínea “b” do subitem 12.1, a multa será de 15% a 30%  do valor do Contrato.</w:t>
      </w:r>
    </w:p>
    <w:p>
      <w:pPr>
        <w:pStyle w:val="Normal"/>
        <w:widowControl/>
        <w:numPr>
          <w:ilvl w:val="3"/>
          <w:numId w:val="5"/>
        </w:numPr>
        <w:suppressAutoHyphens w:val="true"/>
        <w:overflowPunct w:val="true"/>
        <w:bidi w:val="0"/>
        <w:spacing w:lineRule="auto" w:line="240" w:before="0" w:after="0"/>
        <w:ind w:left="0" w:right="0" w:firstLine="1474"/>
        <w:jc w:val="both"/>
        <w:rPr>
          <w:rFonts w:ascii="Arial" w:hAnsi="Arial" w:eastAsia="Arial" w:cs="Arial"/>
          <w:sz w:val="20"/>
          <w:szCs w:val="20"/>
        </w:rPr>
      </w:pPr>
      <w:r>
        <w:rPr>
          <w:rFonts w:eastAsia="Arial" w:cs="Arial"/>
          <w:sz w:val="20"/>
          <w:szCs w:val="20"/>
        </w:rPr>
        <w:t>Para infrações descritas na alínea “d” do subitem 12.1, a multa será de 15% a 30%  do valor do Contrato.</w:t>
      </w:r>
    </w:p>
    <w:p>
      <w:pPr>
        <w:pStyle w:val="Normal"/>
        <w:widowControl/>
        <w:numPr>
          <w:ilvl w:val="3"/>
          <w:numId w:val="5"/>
        </w:numPr>
        <w:suppressAutoHyphens w:val="true"/>
        <w:overflowPunct w:val="true"/>
        <w:bidi w:val="0"/>
        <w:spacing w:lineRule="auto" w:line="240" w:before="0" w:after="0"/>
        <w:ind w:left="0" w:right="0" w:firstLine="1474"/>
        <w:jc w:val="both"/>
        <w:rPr>
          <w:rFonts w:ascii="Arial" w:hAnsi="Arial"/>
          <w:sz w:val="20"/>
          <w:szCs w:val="20"/>
        </w:rPr>
      </w:pPr>
      <w:r>
        <w:rPr>
          <w:rFonts w:eastAsia="Arial" w:cs="Arial"/>
          <w:sz w:val="20"/>
          <w:szCs w:val="20"/>
        </w:rPr>
        <w:t>Para a infração descrita na alínea “a” do subitem 12.1, a multa será de ....15% a 30% do valor do Contrato, ressalvadas as seguintes infrações:</w:t>
      </w:r>
      <w:commentRangeEnd w:id="47"/>
      <w:r>
        <w:commentReference w:id="47"/>
      </w:r>
      <w:r>
        <w:rPr>
          <w:rFonts w:eastAsia="Arial" w:cs="Arial"/>
          <w:sz w:val="20"/>
          <w:szCs w:val="20"/>
        </w:rPr>
      </w:r>
    </w:p>
    <w:p>
      <w:pPr>
        <w:pStyle w:val="Nivel2"/>
        <w:numPr>
          <w:ilvl w:val="1"/>
          <w:numId w:val="1"/>
        </w:numPr>
        <w:spacing w:lineRule="auto" w:line="240" w:before="0" w:after="0"/>
        <w:rPr>
          <w:rFonts w:ascii="Arial" w:hAnsi="Arial" w:cs="Arial"/>
          <w:b/>
          <w:b/>
          <w:bCs/>
          <w:color w:val="5B5B5F"/>
          <w:sz w:val="26"/>
          <w:szCs w:val="26"/>
        </w:rPr>
      </w:pPr>
      <w:r>
        <w:rPr>
          <w:sz w:val="20"/>
          <w:szCs w:val="20"/>
        </w:rPr>
        <w:t>A aplicação das sanções previstas neste Contrato não exclui, em hipótese alguma, a obrigação de reparação integral do dano causado ao Contratante (</w:t>
      </w:r>
      <w:r>
        <w:fldChar w:fldCharType="begin"/>
      </w:r>
      <w:r>
        <w:rPr>
          <w:rStyle w:val="LinkdaInternet"/>
          <w:sz w:val="20"/>
          <w:szCs w:val="20"/>
        </w:rPr>
        <w:instrText> HYPERLINK "http://www.planalto.gov.br/ccivil_03/_ato2019-2022/2021/lei/L14133.htm" \l "art156§9"</w:instrText>
      </w:r>
      <w:r>
        <w:rPr>
          <w:rStyle w:val="LinkdaInternet"/>
          <w:sz w:val="20"/>
          <w:szCs w:val="20"/>
        </w:rPr>
        <w:fldChar w:fldCharType="separate"/>
      </w:r>
      <w:r>
        <w:rPr>
          <w:rStyle w:val="LinkdaInternet"/>
          <w:sz w:val="20"/>
          <w:szCs w:val="20"/>
        </w:rPr>
        <w:t>art. 156, §9º, da Lei nº 14.133, de 2021</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cs="Arial"/>
          <w:b/>
          <w:b/>
          <w:bCs/>
          <w:color w:val="5B5B5F"/>
          <w:sz w:val="26"/>
          <w:szCs w:val="26"/>
        </w:rPr>
      </w:pPr>
      <w:r>
        <w:rPr>
          <w:sz w:val="20"/>
          <w:szCs w:val="20"/>
        </w:rPr>
        <w:t>Todas as sanções previstas neste Contrato poderão ser aplicadas cumulativamente com a multa (</w:t>
      </w:r>
      <w:r>
        <w:fldChar w:fldCharType="begin"/>
      </w:r>
      <w:r>
        <w:rPr>
          <w:rStyle w:val="LinkdaInternet"/>
          <w:sz w:val="20"/>
          <w:szCs w:val="20"/>
        </w:rPr>
        <w:instrText> HYPERLINK "http://www.planalto.gov.br/ccivil_03/_ato2019-2022/2021/lei/L14133.htm" \l "art156§7"</w:instrText>
      </w:r>
      <w:r>
        <w:rPr>
          <w:rStyle w:val="LinkdaInternet"/>
          <w:sz w:val="20"/>
          <w:szCs w:val="20"/>
        </w:rPr>
        <w:fldChar w:fldCharType="separate"/>
      </w:r>
      <w:r>
        <w:rPr>
          <w:rStyle w:val="LinkdaInternet"/>
          <w:sz w:val="20"/>
          <w:szCs w:val="20"/>
        </w:rPr>
        <w:t>art. 156, §7º, da Lei nº 14.133, de 2021</w:t>
      </w:r>
      <w:r>
        <w:rPr>
          <w:rStyle w:val="LinkdaInternet"/>
          <w:sz w:val="20"/>
          <w:szCs w:val="20"/>
        </w:rPr>
        <w:fldChar w:fldCharType="end"/>
      </w:r>
      <w:r>
        <w:rPr>
          <w:sz w:val="20"/>
          <w:szCs w:val="20"/>
        </w:rPr>
        <w:t>).</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Antes da aplicação da multa será facultada a defesa do interessado no prazo de 15 (quinze) dias úteis, contado da data de sua intimação (</w:t>
      </w:r>
      <w:r>
        <w:fldChar w:fldCharType="begin"/>
      </w:r>
      <w:r>
        <w:rPr>
          <w:rStyle w:val="LinkdaInternet"/>
          <w:sz w:val="20"/>
          <w:szCs w:val="20"/>
        </w:rPr>
        <w:instrText> HYPERLINK "http://www.planalto.gov.br/ccivil_03/_ato2019-2022/2021/lei/L14133.htm" \l "art157"</w:instrText>
      </w:r>
      <w:r>
        <w:rPr>
          <w:rStyle w:val="LinkdaInternet"/>
          <w:sz w:val="20"/>
          <w:szCs w:val="20"/>
        </w:rPr>
        <w:fldChar w:fldCharType="separate"/>
      </w:r>
      <w:r>
        <w:rPr>
          <w:rStyle w:val="LinkdaInternet"/>
          <w:sz w:val="20"/>
          <w:szCs w:val="20"/>
        </w:rPr>
        <w:t>art. 157, da Lei nº 14.133, de 2021</w:t>
      </w:r>
      <w:r>
        <w:rPr>
          <w:rStyle w:val="LinkdaInternet"/>
          <w:sz w:val="20"/>
          <w:szCs w:val="20"/>
        </w:rPr>
        <w:fldChar w:fldCharType="end"/>
      </w:r>
      <w:r>
        <w:rPr>
          <w:sz w:val="20"/>
          <w:szCs w:val="20"/>
        </w:rPr>
        <w:t>)</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sz w:val="20"/>
          <w:szCs w:val="20"/>
        </w:rPr>
        <w:t>Se a multa aplicada e as indenizações cabíveis forem superiores ao valor do pagamento eventualmente devido pelo Contratante ao Contratado, além da perda desse valor, a diferença será descontada da garantia prestada ou será cobrada judicialmente (</w:t>
      </w:r>
      <w:r>
        <w:fldChar w:fldCharType="begin"/>
      </w:r>
      <w:r>
        <w:rPr>
          <w:rStyle w:val="LinkdaInternet"/>
          <w:sz w:val="20"/>
          <w:szCs w:val="20"/>
        </w:rPr>
        <w:instrText> HYPERLINK "http://www.planalto.gov.br/ccivil_03/_ato2019-2022/2021/lei/L14133.htm" \l "art156§8"</w:instrText>
      </w:r>
      <w:r>
        <w:rPr>
          <w:rStyle w:val="LinkdaInternet"/>
          <w:sz w:val="20"/>
          <w:szCs w:val="20"/>
        </w:rPr>
        <w:fldChar w:fldCharType="separate"/>
      </w:r>
      <w:r>
        <w:rPr>
          <w:rStyle w:val="LinkdaInternet"/>
          <w:sz w:val="20"/>
          <w:szCs w:val="20"/>
        </w:rPr>
        <w:t>art. 156, §8º, da Lei nº 14.133, de 2021</w:t>
      </w:r>
      <w:r>
        <w:rPr>
          <w:rStyle w:val="LinkdaInternet"/>
          <w:sz w:val="20"/>
          <w:szCs w:val="20"/>
        </w:rPr>
        <w:fldChar w:fldCharType="end"/>
      </w:r>
      <w:r>
        <w:rPr>
          <w:sz w:val="20"/>
          <w:szCs w:val="20"/>
        </w:rPr>
        <w:t>).</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sz w:val="20"/>
          <w:szCs w:val="20"/>
        </w:rPr>
      </w:pPr>
      <w:r>
        <w:rPr>
          <w:sz w:val="20"/>
          <w:szCs w:val="20"/>
        </w:rPr>
        <w:t>Previamente ao encaminhamento à cobrança judicial, a multa poderá ser recolhida administrativamente no prazo máximo de 30</w:t>
      </w:r>
      <w:r>
        <w:rPr>
          <w:i/>
          <w:iCs/>
          <w:color w:val="FF0000"/>
          <w:sz w:val="20"/>
          <w:szCs w:val="20"/>
        </w:rPr>
        <w:t xml:space="preserve"> </w:t>
      </w:r>
      <w:r>
        <w:rPr>
          <w:i/>
          <w:iCs/>
          <w:color w:val="000000"/>
          <w:sz w:val="20"/>
          <w:szCs w:val="20"/>
        </w:rPr>
        <w:t>(trinta)</w:t>
      </w:r>
      <w:r>
        <w:rPr>
          <w:i/>
          <w:iCs/>
          <w:color w:val="FF0000"/>
          <w:sz w:val="20"/>
          <w:szCs w:val="20"/>
        </w:rPr>
        <w:t xml:space="preserve"> </w:t>
      </w:r>
      <w:r>
        <w:rPr>
          <w:sz w:val="20"/>
          <w:szCs w:val="20"/>
        </w:rPr>
        <w:t>dias, a contar da data do recebimento da comunicação enviada pela autoridade competente.</w:t>
      </w:r>
      <w:bookmarkStart w:id="58" w:name="_Hlk78351618"/>
      <w:bookmarkEnd w:id="58"/>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A aplicação das sanções realizar-se-á em processo administrativo que assegure o contraditório e a ampla defesa ao Contratado, observando-se o procedimento previsto no </w:t>
      </w:r>
      <w:r>
        <w:rPr>
          <w:b/>
          <w:bCs/>
          <w:sz w:val="20"/>
          <w:szCs w:val="20"/>
        </w:rPr>
        <w:t xml:space="preserve">caput </w:t>
      </w:r>
      <w:r>
        <w:rPr>
          <w:sz w:val="20"/>
          <w:szCs w:val="20"/>
        </w:rPr>
        <w:t xml:space="preserve">e parágrafos do </w:t>
      </w:r>
      <w:r>
        <w:fldChar w:fldCharType="begin"/>
      </w:r>
      <w:r>
        <w:rPr>
          <w:rStyle w:val="LinkdaInternet"/>
          <w:sz w:val="20"/>
          <w:szCs w:val="20"/>
        </w:rPr>
        <w:instrText> HYPERLINK "http://www.planalto.gov.br/ccivil_03/_ato2019-2022/2021/lei/L14133.htm" \l "art158"</w:instrText>
      </w:r>
      <w:r>
        <w:rPr>
          <w:rStyle w:val="LinkdaInternet"/>
          <w:sz w:val="20"/>
          <w:szCs w:val="20"/>
        </w:rPr>
        <w:fldChar w:fldCharType="separate"/>
      </w:r>
      <w:r>
        <w:rPr>
          <w:rStyle w:val="LinkdaInternet"/>
          <w:sz w:val="20"/>
          <w:szCs w:val="20"/>
        </w:rPr>
        <w:t>art. 158 da Lei nº 14.133, de 2021</w:t>
      </w:r>
      <w:r>
        <w:rPr>
          <w:rStyle w:val="LinkdaInternet"/>
          <w:sz w:val="20"/>
          <w:szCs w:val="20"/>
        </w:rPr>
        <w:fldChar w:fldCharType="end"/>
      </w:r>
      <w:r>
        <w:rPr>
          <w:sz w:val="20"/>
          <w:szCs w:val="20"/>
        </w:rPr>
        <w:t>, para as penalidades de impedimento de licitar e contratar e de declaração de inidoneidade para licitar ou contratar.</w:t>
      </w:r>
    </w:p>
    <w:p>
      <w:pPr>
        <w:pStyle w:val="Nivel2"/>
        <w:numPr>
          <w:ilvl w:val="1"/>
          <w:numId w:val="1"/>
        </w:numPr>
        <w:spacing w:lineRule="auto" w:line="240" w:before="0" w:after="0"/>
        <w:rPr>
          <w:rFonts w:ascii="Arial" w:hAnsi="Arial" w:cs="Arial"/>
          <w:b/>
          <w:b/>
          <w:bCs/>
          <w:color w:val="5B5B5F"/>
          <w:sz w:val="26"/>
          <w:szCs w:val="26"/>
        </w:rPr>
      </w:pPr>
      <w:r>
        <w:rPr>
          <w:sz w:val="20"/>
          <w:szCs w:val="20"/>
        </w:rPr>
        <w:t>Na aplicação das sanções serão considerados (</w:t>
      </w:r>
      <w:r>
        <w:fldChar w:fldCharType="begin"/>
      </w:r>
      <w:r>
        <w:rPr>
          <w:rStyle w:val="LinkdaInternet"/>
          <w:sz w:val="20"/>
          <w:szCs w:val="20"/>
        </w:rPr>
        <w:instrText> HYPERLINK "http://www.planalto.gov.br/ccivil_03/_ato2019-2022/2021/lei/L14133.htm" \l "art156§1"</w:instrText>
      </w:r>
      <w:r>
        <w:rPr>
          <w:rStyle w:val="LinkdaInternet"/>
          <w:sz w:val="20"/>
          <w:szCs w:val="20"/>
        </w:rPr>
        <w:fldChar w:fldCharType="separate"/>
      </w:r>
      <w:r>
        <w:rPr>
          <w:rStyle w:val="LinkdaInternet"/>
          <w:sz w:val="20"/>
          <w:szCs w:val="20"/>
        </w:rPr>
        <w:t>art. 156, §1º, da Lei nº 14.133, de 2021</w:t>
      </w:r>
      <w:r>
        <w:rPr>
          <w:rStyle w:val="LinkdaInternet"/>
          <w:sz w:val="20"/>
          <w:szCs w:val="20"/>
        </w:rPr>
        <w:fldChar w:fldCharType="end"/>
      </w:r>
      <w:r>
        <w:rPr>
          <w:sz w:val="20"/>
          <w:szCs w:val="20"/>
        </w:rPr>
        <w:t>):</w:t>
      </w:r>
    </w:p>
    <w:p>
      <w:pPr>
        <w:pStyle w:val="Normal"/>
        <w:widowControl/>
        <w:numPr>
          <w:ilvl w:val="0"/>
          <w:numId w:val="6"/>
        </w:numPr>
        <w:suppressAutoHyphens w:val="true"/>
        <w:overflowPunct w:val="true"/>
        <w:bidi w:val="0"/>
        <w:spacing w:lineRule="auto" w:line="240" w:before="0" w:after="0"/>
        <w:jc w:val="both"/>
        <w:rPr>
          <w:rFonts w:ascii="Arial" w:hAnsi="Arial" w:eastAsia="Arial" w:cs="Arial"/>
          <w:sz w:val="20"/>
          <w:szCs w:val="20"/>
        </w:rPr>
      </w:pPr>
      <w:r>
        <w:rPr>
          <w:rFonts w:eastAsia="Arial" w:cs="Arial"/>
          <w:sz w:val="20"/>
          <w:szCs w:val="20"/>
        </w:rPr>
        <w:t>a natureza e a gravidade da infração cometida;</w:t>
      </w:r>
    </w:p>
    <w:p>
      <w:pPr>
        <w:pStyle w:val="Normal"/>
        <w:widowControl/>
        <w:numPr>
          <w:ilvl w:val="0"/>
          <w:numId w:val="6"/>
        </w:numPr>
        <w:suppressAutoHyphens w:val="true"/>
        <w:overflowPunct w:val="true"/>
        <w:bidi w:val="0"/>
        <w:spacing w:lineRule="auto" w:line="240" w:before="0" w:after="0"/>
        <w:jc w:val="both"/>
        <w:rPr>
          <w:rFonts w:ascii="Arial" w:hAnsi="Arial" w:eastAsia="Arial" w:cs="Arial"/>
          <w:sz w:val="20"/>
          <w:szCs w:val="20"/>
        </w:rPr>
      </w:pPr>
      <w:r>
        <w:rPr>
          <w:rFonts w:eastAsia="Arial" w:cs="Arial"/>
          <w:sz w:val="20"/>
          <w:szCs w:val="20"/>
        </w:rPr>
        <w:t>as peculiaridades do caso concreto;</w:t>
      </w:r>
    </w:p>
    <w:p>
      <w:pPr>
        <w:pStyle w:val="Normal"/>
        <w:widowControl/>
        <w:numPr>
          <w:ilvl w:val="0"/>
          <w:numId w:val="6"/>
        </w:numPr>
        <w:suppressAutoHyphens w:val="true"/>
        <w:overflowPunct w:val="true"/>
        <w:bidi w:val="0"/>
        <w:spacing w:lineRule="auto" w:line="240" w:before="0" w:after="0"/>
        <w:jc w:val="both"/>
        <w:rPr>
          <w:rFonts w:ascii="Arial" w:hAnsi="Arial" w:eastAsia="Arial" w:cs="Arial"/>
          <w:sz w:val="20"/>
          <w:szCs w:val="20"/>
        </w:rPr>
      </w:pPr>
      <w:r>
        <w:rPr>
          <w:rFonts w:eastAsia="Arial" w:cs="Arial"/>
          <w:sz w:val="20"/>
          <w:szCs w:val="20"/>
        </w:rPr>
        <w:t>as circunstâncias agravantes ou atenuantes;</w:t>
      </w:r>
    </w:p>
    <w:p>
      <w:pPr>
        <w:pStyle w:val="Normal"/>
        <w:widowControl/>
        <w:numPr>
          <w:ilvl w:val="0"/>
          <w:numId w:val="6"/>
        </w:numPr>
        <w:suppressAutoHyphens w:val="true"/>
        <w:overflowPunct w:val="true"/>
        <w:bidi w:val="0"/>
        <w:spacing w:lineRule="auto" w:line="240" w:before="0" w:after="0"/>
        <w:jc w:val="both"/>
        <w:rPr>
          <w:rFonts w:ascii="Arial" w:hAnsi="Arial" w:eastAsia="Arial" w:cs="Arial"/>
          <w:sz w:val="20"/>
          <w:szCs w:val="20"/>
        </w:rPr>
      </w:pPr>
      <w:r>
        <w:rPr>
          <w:rFonts w:eastAsia="Arial" w:cs="Arial"/>
          <w:sz w:val="20"/>
          <w:szCs w:val="20"/>
        </w:rPr>
        <w:t>os danos que dela provierem para o Contratante;</w:t>
      </w:r>
    </w:p>
    <w:p>
      <w:pPr>
        <w:pStyle w:val="Normal"/>
        <w:widowControl/>
        <w:numPr>
          <w:ilvl w:val="0"/>
          <w:numId w:val="6"/>
        </w:numPr>
        <w:suppressAutoHyphens w:val="true"/>
        <w:overflowPunct w:val="true"/>
        <w:bidi w:val="0"/>
        <w:spacing w:lineRule="auto" w:line="240" w:before="0" w:after="0"/>
        <w:jc w:val="both"/>
        <w:rPr>
          <w:rFonts w:ascii="Arial" w:hAnsi="Arial" w:eastAsia="Arial" w:cs="Arial"/>
          <w:sz w:val="20"/>
          <w:szCs w:val="20"/>
        </w:rPr>
      </w:pPr>
      <w:r>
        <w:rPr>
          <w:rFonts w:eastAsia="Arial" w:cs="Arial"/>
          <w:sz w:val="20"/>
          <w:szCs w:val="20"/>
        </w:rPr>
        <w:t>a implantação ou o aperfeiçoamento de programa de integridade, conforme normas e orientações dos órgãos de controle.</w:t>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Os atos previstos como infrações administrativas na </w:t>
      </w:r>
      <w:hyperlink r:id="rId37">
        <w:r>
          <w:rPr>
            <w:rStyle w:val="LinkdaInternet"/>
            <w:sz w:val="20"/>
            <w:szCs w:val="20"/>
          </w:rPr>
          <w:t>Lei nº 14.133, de 2021</w:t>
        </w:r>
      </w:hyperlink>
      <w:r>
        <w:rPr>
          <w:sz w:val="20"/>
          <w:szCs w:val="20"/>
        </w:rPr>
        <w:t xml:space="preserve">, ou em outras leis de licitações e contratos da Administração Pública que também sejam tipificados como atos lesivos </w:t>
      </w:r>
      <w:hyperlink r:id="rId38">
        <w:r>
          <w:rPr>
            <w:rStyle w:val="LinkdaInternet"/>
            <w:sz w:val="20"/>
            <w:szCs w:val="20"/>
          </w:rPr>
          <w:t>na Lei nº 12.846, de 2013</w:t>
        </w:r>
      </w:hyperlink>
      <w:r>
        <w:rPr>
          <w:sz w:val="20"/>
          <w:szCs w:val="20"/>
        </w:rPr>
        <w:t xml:space="preserve">, serão apurados e julgados conjuntamente, nos mesmos autos, observados o rito procedimental e autoridade competente definidos na referida </w:t>
      </w:r>
      <w:r>
        <w:fldChar w:fldCharType="begin"/>
      </w:r>
      <w:r>
        <w:rPr>
          <w:rStyle w:val="LinkdaInternet"/>
          <w:sz w:val="20"/>
          <w:szCs w:val="20"/>
        </w:rPr>
        <w:instrText> HYPERLINK "http://www.planalto.gov.br/ccivil_03/_ato2019-2022/2021/lei/L14133.htm" \l "art159"</w:instrText>
      </w:r>
      <w:r>
        <w:rPr>
          <w:rStyle w:val="LinkdaInternet"/>
          <w:sz w:val="20"/>
          <w:szCs w:val="20"/>
        </w:rPr>
        <w:fldChar w:fldCharType="separate"/>
      </w:r>
      <w:r>
        <w:rPr>
          <w:rStyle w:val="LinkdaInternet"/>
          <w:sz w:val="20"/>
          <w:szCs w:val="20"/>
        </w:rPr>
        <w:t>Lei (art. 159</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cs="Arial"/>
          <w:b/>
          <w:b/>
          <w:bCs/>
          <w:color w:val="5B5B5F"/>
          <w:sz w:val="26"/>
          <w:szCs w:val="26"/>
        </w:rPr>
      </w:pPr>
      <w:r>
        <w:rPr>
          <w:sz w:val="20"/>
          <w:szCs w:val="2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r>
        <w:fldChar w:fldCharType="begin"/>
      </w:r>
      <w:r>
        <w:rPr>
          <w:rStyle w:val="LinkdaInternet"/>
          <w:sz w:val="20"/>
          <w:szCs w:val="20"/>
        </w:rPr>
        <w:instrText> HYPERLINK "http://www.planalto.gov.br/ccivil_03/_ato2019-2022/2021/lei/L14133.htm" \l "art160"</w:instrText>
      </w:r>
      <w:r>
        <w:rPr>
          <w:rStyle w:val="LinkdaInternet"/>
          <w:sz w:val="20"/>
          <w:szCs w:val="20"/>
        </w:rPr>
        <w:fldChar w:fldCharType="separate"/>
      </w:r>
      <w:r>
        <w:rPr>
          <w:rStyle w:val="LinkdaInternet"/>
          <w:sz w:val="20"/>
          <w:szCs w:val="20"/>
        </w:rPr>
        <w:t>art. 160, da Lei nº 14.133, de 2021</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 </w:t>
      </w:r>
      <w:r>
        <w:rPr>
          <w:sz w:val="20"/>
          <w:szCs w:val="20"/>
        </w:rPr>
        <w:t xml:space="preserve">O Contratante deverá, no prazo máximo de 15 (quinze) dias úteis, contado da data de aplicação da sanção, informar e manter atualizados os dados relativos às sanções por ela aplicadas, para fins de publicidade no </w:t>
      </w:r>
      <w:hyperlink r:id="rId39">
        <w:r>
          <w:rPr>
            <w:rStyle w:val="LinkdaInternet"/>
            <w:sz w:val="20"/>
            <w:szCs w:val="20"/>
          </w:rPr>
          <w:t>Cadastro Nacional de Empresas Inidôneas e Suspensas (Ceis)</w:t>
        </w:r>
      </w:hyperlink>
      <w:r>
        <w:rPr>
          <w:sz w:val="20"/>
          <w:szCs w:val="20"/>
        </w:rPr>
        <w:t xml:space="preserve"> e no Cadastro Nacional de Empresas Punidas (Cnep), instituídos no âmbito do Poder Executivo Federal. (</w:t>
      </w:r>
      <w:r>
        <w:fldChar w:fldCharType="begin"/>
      </w:r>
      <w:r>
        <w:rPr>
          <w:rStyle w:val="LinkdaInternet"/>
          <w:sz w:val="20"/>
          <w:szCs w:val="20"/>
        </w:rPr>
        <w:instrText> HYPERLINK "http://www.planalto.gov.br/ccivil_03/_ato2019-2022/2021/lei/L14133.htm" \l "art161"</w:instrText>
      </w:r>
      <w:r>
        <w:rPr>
          <w:rStyle w:val="LinkdaInternet"/>
          <w:sz w:val="20"/>
          <w:szCs w:val="20"/>
        </w:rPr>
        <w:fldChar w:fldCharType="separate"/>
      </w:r>
      <w:r>
        <w:rPr>
          <w:rStyle w:val="LinkdaInternet"/>
          <w:sz w:val="20"/>
          <w:szCs w:val="20"/>
        </w:rPr>
        <w:t>Art. 161, da Lei nº 14.133, de 2021</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As sanções de impedimento de licitar e contratar e declaração de inidoneidade para licitar ou contratar são passíveis de reabilitação na forma do </w:t>
      </w:r>
      <w:r>
        <w:fldChar w:fldCharType="begin"/>
      </w:r>
      <w:r>
        <w:rPr>
          <w:rStyle w:val="LinkdaInternet"/>
          <w:sz w:val="20"/>
          <w:szCs w:val="20"/>
        </w:rPr>
        <w:instrText> HYPERLINK "http://www.planalto.gov.br/ccivil_03/_ato2019-2022/2021/lei/L14133.htm" \l "art163"</w:instrText>
      </w:r>
      <w:r>
        <w:rPr>
          <w:rStyle w:val="LinkdaInternet"/>
          <w:sz w:val="20"/>
          <w:szCs w:val="20"/>
        </w:rPr>
        <w:fldChar w:fldCharType="separate"/>
      </w:r>
      <w:r>
        <w:rPr>
          <w:rStyle w:val="LinkdaInternet"/>
          <w:sz w:val="20"/>
          <w:szCs w:val="20"/>
        </w:rPr>
        <w:t>art. 163 da Lei nº 14.133/21.</w:t>
      </w:r>
      <w:r>
        <w:rPr>
          <w:rStyle w:val="LinkdaInternet"/>
          <w:sz w:val="20"/>
          <w:szCs w:val="20"/>
        </w:rPr>
        <w:fldChar w:fldCharType="end"/>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w:t>
      </w:r>
      <w:hyperlink r:id="rId40">
        <w:r>
          <w:rPr>
            <w:rStyle w:val="LinkdaInternet"/>
            <w:sz w:val="20"/>
            <w:szCs w:val="20"/>
          </w:rPr>
          <w:t>Instrução Normativa SEGES/ME nº 26, de 13 de abril de 2022</w:t>
        </w:r>
      </w:hyperlink>
      <w:r>
        <w:rPr>
          <w:sz w:val="20"/>
          <w:szCs w:val="20"/>
        </w:rPr>
        <w:t xml:space="preserve">. </w:t>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rPr>
          <w:rFonts w:ascii="Arial" w:hAnsi="Arial" w:cs="Arial"/>
          <w:b/>
          <w:b/>
          <w:bCs/>
          <w:color w:val="5B5B5F"/>
          <w:sz w:val="26"/>
          <w:szCs w:val="26"/>
        </w:rPr>
      </w:pPr>
      <w:commentRangeStart w:id="48"/>
      <w:r>
        <w:rPr>
          <w:sz w:val="20"/>
          <w:szCs w:val="20"/>
        </w:rPr>
        <w:t>CLÁUSULA DÉCIMA TERCEIRA – DA EXTINÇÃO CONTRATUAL (</w:t>
      </w:r>
      <w:r>
        <w:fldChar w:fldCharType="begin"/>
      </w:r>
      <w:r>
        <w:rPr>
          <w:rStyle w:val="LinkdaInternet"/>
          <w:sz w:val="20"/>
          <w:szCs w:val="20"/>
        </w:rPr>
        <w:instrText> HYPERLINK "http://www.planalto.gov.br/ccivil_03/_ato2019-2022/2021/lei/L14133.htm" \l "art92"</w:instrText>
      </w:r>
      <w:r>
        <w:rPr>
          <w:rStyle w:val="LinkdaInternet"/>
          <w:sz w:val="20"/>
          <w:szCs w:val="20"/>
        </w:rPr>
        <w:fldChar w:fldCharType="separate"/>
      </w:r>
      <w:r>
        <w:rPr>
          <w:rStyle w:val="LinkdaInternet"/>
          <w:sz w:val="20"/>
          <w:szCs w:val="20"/>
        </w:rPr>
        <w:t>art. 92, XIX</w:t>
      </w:r>
      <w:r>
        <w:rPr>
          <w:rStyle w:val="LinkdaInternet"/>
          <w:sz w:val="20"/>
          <w:szCs w:val="20"/>
        </w:rPr>
        <w:fldChar w:fldCharType="end"/>
      </w:r>
      <w:r>
        <w:rPr>
          <w:sz w:val="20"/>
          <w:szCs w:val="20"/>
        </w:rPr>
        <w:t>)</w:t>
      </w:r>
      <w:commentRangeEnd w:id="48"/>
      <w:r>
        <w:commentReference w:id="48"/>
      </w:r>
      <w:r>
        <w:rPr>
          <w:sz w:val="20"/>
          <w:szCs w:val="20"/>
        </w:rPr>
      </w:r>
    </w:p>
    <w:p>
      <w:pPr>
        <w:pStyle w:val="Nvel2Red"/>
        <w:numPr>
          <w:ilvl w:val="1"/>
          <w:numId w:val="1"/>
        </w:numPr>
        <w:spacing w:lineRule="auto" w:line="240" w:before="0" w:after="0"/>
        <w:rPr>
          <w:rFonts w:ascii="Arial" w:hAnsi="Arial"/>
          <w:color w:val="000000"/>
          <w:sz w:val="20"/>
          <w:szCs w:val="20"/>
          <w:shd w:fill="FFFFFF" w:val="clear"/>
        </w:rPr>
      </w:pPr>
      <w:r>
        <w:rPr>
          <w:color w:val="000000"/>
          <w:sz w:val="20"/>
          <w:szCs w:val="20"/>
          <w:shd w:fill="FFFFFF" w:val="clear"/>
        </w:rPr>
        <w:t>O contrato será extinto quando cumpridas as obrigações de ambas as partes, ainda que isso ocorra antes do prazo estipulado para tanto.</w:t>
      </w:r>
    </w:p>
    <w:p>
      <w:pPr>
        <w:pStyle w:val="Nvel2Red"/>
        <w:numPr>
          <w:ilvl w:val="1"/>
          <w:numId w:val="1"/>
        </w:numPr>
        <w:spacing w:lineRule="auto" w:line="240" w:before="0" w:after="0"/>
        <w:rPr>
          <w:rFonts w:ascii="Arial" w:hAnsi="Arial"/>
          <w:color w:val="000000"/>
          <w:sz w:val="20"/>
          <w:szCs w:val="20"/>
          <w:shd w:fill="FFFFFF" w:val="clear"/>
        </w:rPr>
      </w:pPr>
      <w:r>
        <w:rPr>
          <w:color w:val="000000"/>
          <w:sz w:val="20"/>
          <w:szCs w:val="20"/>
          <w:shd w:fill="FFFFFF" w:val="clear"/>
        </w:rPr>
        <w:t>Se as obrigações não forem cumpridas no prazo estipulado, a vigência ficará prorrogada até a conclusão do objeto, caso em que deverá a Administração providenciar a readequação do cronograma fixado para o contrato.</w:t>
      </w:r>
    </w:p>
    <w:p>
      <w:pPr>
        <w:pStyle w:val="Nvel2Red"/>
        <w:numPr>
          <w:ilvl w:val="1"/>
          <w:numId w:val="1"/>
        </w:numPr>
        <w:spacing w:lineRule="auto" w:line="240" w:before="0" w:after="0"/>
        <w:rPr>
          <w:rFonts w:ascii="Arial" w:hAnsi="Arial"/>
          <w:color w:val="000000"/>
          <w:sz w:val="20"/>
          <w:szCs w:val="20"/>
          <w:shd w:fill="FFFFFF" w:val="clear"/>
        </w:rPr>
      </w:pPr>
      <w:r>
        <w:rPr>
          <w:color w:val="000000"/>
          <w:sz w:val="20"/>
          <w:szCs w:val="20"/>
          <w:shd w:fill="FFFFFF" w:val="clear"/>
        </w:rPr>
        <w:t>Quando a não conclusão do contrato referida no item anterior decorrer de culpa do contratado:</w:t>
      </w:r>
    </w:p>
    <w:p>
      <w:pPr>
        <w:pStyle w:val="ListParagraph"/>
        <w:widowControl/>
        <w:numPr>
          <w:ilvl w:val="0"/>
          <w:numId w:val="0"/>
        </w:numPr>
        <w:suppressAutoHyphens w:val="true"/>
        <w:overflowPunct w:val="true"/>
        <w:bidi w:val="0"/>
        <w:spacing w:lineRule="auto" w:line="240" w:before="0" w:after="0"/>
        <w:ind w:left="567" w:right="0" w:hanging="0"/>
        <w:jc w:val="both"/>
        <w:rPr>
          <w:rFonts w:ascii="Arial" w:hAnsi="Arial" w:cs="Arial"/>
          <w:b/>
          <w:b/>
          <w:bCs/>
          <w:color w:val="5B5B5F"/>
          <w:sz w:val="26"/>
          <w:szCs w:val="26"/>
        </w:rPr>
      </w:pPr>
      <w:r>
        <w:rPr>
          <w:rFonts w:eastAsia="Arial" w:cs="Arial"/>
          <w:i/>
          <w:iCs/>
          <w:color w:val="000000"/>
          <w:sz w:val="20"/>
          <w:szCs w:val="20"/>
          <w:shd w:fill="FFFFFF" w:val="clear"/>
        </w:rPr>
        <w:t>a) ficará ele constituído em mora, sendo-lhe aplicáveis as respectivas sanções administrativas; e</w:t>
      </w:r>
    </w:p>
    <w:p>
      <w:pPr>
        <w:pStyle w:val="ListParagraph"/>
        <w:widowControl/>
        <w:numPr>
          <w:ilvl w:val="0"/>
          <w:numId w:val="0"/>
        </w:numPr>
        <w:suppressAutoHyphens w:val="true"/>
        <w:overflowPunct w:val="true"/>
        <w:bidi w:val="0"/>
        <w:spacing w:lineRule="auto" w:line="240" w:before="0" w:after="0"/>
        <w:ind w:left="567" w:right="0" w:hanging="0"/>
        <w:jc w:val="both"/>
        <w:rPr>
          <w:rFonts w:ascii="Arial" w:hAnsi="Arial" w:eastAsia="Arial" w:cs="Arial"/>
          <w:i/>
          <w:i/>
          <w:iCs/>
          <w:color w:val="000000"/>
          <w:sz w:val="20"/>
          <w:szCs w:val="20"/>
          <w:shd w:fill="FFFFFF" w:val="clear"/>
        </w:rPr>
      </w:pPr>
      <w:r>
        <w:rPr>
          <w:rFonts w:eastAsia="Arial" w:cs="Arial"/>
          <w:i/>
          <w:iCs/>
          <w:color w:val="000000"/>
          <w:sz w:val="20"/>
          <w:szCs w:val="20"/>
          <w:shd w:fill="FFFFFF" w:val="clear"/>
        </w:rPr>
        <w:t>b) poderá a Administração optar pela extinção do contrato e, nesse caso, adotará as medidas admitidas em lei para a continuidade da execução contratual.</w:t>
      </w:r>
    </w:p>
    <w:p>
      <w:pPr>
        <w:pStyle w:val="Nivel2"/>
        <w:numPr>
          <w:ilvl w:val="1"/>
          <w:numId w:val="1"/>
        </w:numPr>
        <w:spacing w:lineRule="auto" w:line="240" w:before="0" w:after="0"/>
        <w:rPr>
          <w:rFonts w:ascii="Arial" w:hAnsi="Arial" w:cs="Arial"/>
          <w:b/>
          <w:b/>
          <w:bCs/>
          <w:color w:val="5B5B5F"/>
          <w:sz w:val="26"/>
          <w:szCs w:val="26"/>
        </w:rPr>
      </w:pPr>
      <w:r>
        <w:rPr>
          <w:color w:val="000000"/>
          <w:sz w:val="20"/>
          <w:szCs w:val="20"/>
          <w:shd w:fill="FFFFFF" w:val="clear"/>
        </w:rPr>
        <w:t xml:space="preserve">O contrato poderá ser extinto antes de cumpridas as obrigações nele estipuladas, ou antes do prazo nele fixado, por algum dos motivos previstos no </w:t>
      </w:r>
      <w:r>
        <w:fldChar w:fldCharType="begin"/>
      </w:r>
      <w:r>
        <w:rPr>
          <w:rStyle w:val="LinkdaInternet"/>
          <w:sz w:val="20"/>
          <w:shd w:fill="FFFFFF" w:val="clear"/>
          <w:szCs w:val="20"/>
          <w:color w:val="000000"/>
        </w:rPr>
        <w:instrText> HYPERLINK "http://www.planalto.gov.br/ccivil_03/_ato2019-2022/2021/lei/L14133.htm" \l "art137"</w:instrText>
      </w:r>
      <w:r>
        <w:rPr>
          <w:rStyle w:val="LinkdaInternet"/>
          <w:sz w:val="20"/>
          <w:shd w:fill="FFFFFF" w:val="clear"/>
          <w:szCs w:val="20"/>
          <w:color w:val="000000"/>
        </w:rPr>
        <w:fldChar w:fldCharType="separate"/>
      </w:r>
      <w:r>
        <w:rPr>
          <w:rStyle w:val="LinkdaInternet"/>
          <w:color w:val="000000"/>
          <w:sz w:val="20"/>
          <w:szCs w:val="20"/>
          <w:shd w:fill="FFFFFF" w:val="clear"/>
        </w:rPr>
        <w:t>artigo 137 da Lei nº 14.133/21</w:t>
      </w:r>
      <w:r>
        <w:rPr>
          <w:rStyle w:val="LinkdaInternet"/>
          <w:sz w:val="20"/>
          <w:shd w:fill="FFFFFF" w:val="clear"/>
          <w:szCs w:val="20"/>
          <w:color w:val="000000"/>
        </w:rPr>
        <w:fldChar w:fldCharType="end"/>
      </w:r>
      <w:r>
        <w:rPr>
          <w:color w:val="000000"/>
          <w:sz w:val="20"/>
          <w:szCs w:val="20"/>
          <w:shd w:fill="FFFFFF" w:val="clear"/>
        </w:rPr>
        <w:t>, bem como amigavelmente, assegurados o contraditório e a ampla defesa.</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cs="Arial"/>
          <w:b/>
          <w:b/>
          <w:bCs/>
          <w:color w:val="5B5B5F"/>
          <w:sz w:val="26"/>
          <w:szCs w:val="26"/>
        </w:rPr>
      </w:pPr>
      <w:r>
        <w:rPr>
          <w:color w:val="000000"/>
          <w:sz w:val="20"/>
          <w:szCs w:val="20"/>
          <w:shd w:fill="FFFFFF" w:val="clear"/>
        </w:rPr>
        <w:t xml:space="preserve">Nesta hipótese, aplicam-se também os </w:t>
      </w:r>
      <w:r>
        <w:fldChar w:fldCharType="begin"/>
      </w:r>
      <w:r>
        <w:rPr>
          <w:rStyle w:val="LinkdaInternet"/>
          <w:sz w:val="20"/>
          <w:shd w:fill="FFFFFF" w:val="clear"/>
          <w:szCs w:val="20"/>
          <w:color w:val="000000"/>
        </w:rPr>
        <w:instrText> HYPERLINK "http://www.planalto.gov.br/ccivil_03/_ato2019-2022/2021/lei/L14133.htm" \l "art138"</w:instrText>
      </w:r>
      <w:r>
        <w:rPr>
          <w:rStyle w:val="LinkdaInternet"/>
          <w:sz w:val="20"/>
          <w:shd w:fill="FFFFFF" w:val="clear"/>
          <w:szCs w:val="20"/>
          <w:color w:val="000000"/>
        </w:rPr>
        <w:fldChar w:fldCharType="separate"/>
      </w:r>
      <w:r>
        <w:rPr>
          <w:rStyle w:val="LinkdaInternet"/>
          <w:color w:val="000000"/>
          <w:sz w:val="20"/>
          <w:szCs w:val="20"/>
          <w:shd w:fill="FFFFFF" w:val="clear"/>
        </w:rPr>
        <w:t>artigos 138 e 139</w:t>
      </w:r>
      <w:r>
        <w:rPr>
          <w:rStyle w:val="LinkdaInternet"/>
          <w:sz w:val="20"/>
          <w:shd w:fill="FFFFFF" w:val="clear"/>
          <w:szCs w:val="20"/>
          <w:color w:val="000000"/>
        </w:rPr>
        <w:fldChar w:fldCharType="end"/>
      </w:r>
      <w:r>
        <w:rPr>
          <w:color w:val="000000"/>
          <w:sz w:val="20"/>
          <w:szCs w:val="20"/>
          <w:shd w:fill="FFFFFF" w:val="clear"/>
        </w:rPr>
        <w:t xml:space="preserve"> da mesma Lei.</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color w:val="000000"/>
          <w:sz w:val="20"/>
          <w:szCs w:val="20"/>
          <w:shd w:fill="FFFFFF" w:val="clear"/>
        </w:rPr>
      </w:pPr>
      <w:r>
        <w:rPr>
          <w:color w:val="000000"/>
          <w:sz w:val="20"/>
          <w:szCs w:val="20"/>
          <w:shd w:fill="FFFFFF" w:val="clear"/>
        </w:rPr>
        <w:t>A alteração social ou a modificação da finalidade ou da estrutura da empresa não ensejará a extinção se não restringir sua capacidade de concluir o contrato.</w:t>
      </w:r>
    </w:p>
    <w:p>
      <w:pPr>
        <w:pStyle w:val="Nivel4"/>
        <w:widowControl/>
        <w:numPr>
          <w:ilvl w:val="3"/>
          <w:numId w:val="1"/>
        </w:numPr>
        <w:suppressAutoHyphens w:val="true"/>
        <w:overflowPunct w:val="true"/>
        <w:bidi w:val="0"/>
        <w:spacing w:lineRule="auto" w:line="240" w:before="0" w:after="0"/>
        <w:ind w:left="0" w:right="0" w:firstLine="1134"/>
        <w:jc w:val="both"/>
        <w:rPr>
          <w:rFonts w:ascii="Arial" w:hAnsi="Arial"/>
          <w:color w:val="000000"/>
          <w:sz w:val="20"/>
          <w:szCs w:val="20"/>
          <w:shd w:fill="FFFFFF" w:val="clear"/>
        </w:rPr>
      </w:pPr>
      <w:r>
        <w:rPr>
          <w:color w:val="000000"/>
          <w:sz w:val="20"/>
          <w:szCs w:val="20"/>
          <w:shd w:fill="FFFFFF" w:val="clear"/>
        </w:rPr>
        <w:t>Se a operação implicar mudança da pessoa jurídica contratada, deverá ser formalizado termo aditivo para alteração subjetiva.</w:t>
      </w:r>
    </w:p>
    <w:p>
      <w:pPr>
        <w:pStyle w:val="Nivel2"/>
        <w:numPr>
          <w:ilvl w:val="1"/>
          <w:numId w:val="1"/>
        </w:numPr>
        <w:spacing w:lineRule="auto" w:line="240" w:before="0" w:after="0"/>
        <w:rPr>
          <w:rFonts w:ascii="Arial" w:hAnsi="Arial"/>
          <w:color w:val="000000"/>
          <w:sz w:val="20"/>
          <w:szCs w:val="20"/>
          <w:shd w:fill="FFFFFF" w:val="clear"/>
        </w:rPr>
      </w:pPr>
      <w:r>
        <w:rPr>
          <w:color w:val="000000"/>
          <w:sz w:val="20"/>
          <w:szCs w:val="20"/>
          <w:shd w:fill="FFFFFF" w:val="clear"/>
        </w:rPr>
        <w:t>O termo de extinção, sempre que possível, será precedido:</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color w:val="000000"/>
          <w:sz w:val="20"/>
          <w:szCs w:val="20"/>
          <w:shd w:fill="FFFFFF" w:val="clear"/>
        </w:rPr>
      </w:pPr>
      <w:r>
        <w:rPr>
          <w:color w:val="000000"/>
          <w:sz w:val="20"/>
          <w:szCs w:val="20"/>
          <w:shd w:fill="FFFFFF" w:val="clear"/>
        </w:rPr>
        <w:t>Balanço dos eventos contratuais já cumpridos ou parcialmente cumpridos;</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color w:val="000000"/>
          <w:sz w:val="20"/>
          <w:szCs w:val="20"/>
          <w:shd w:fill="FFFFFF" w:val="clear"/>
        </w:rPr>
      </w:pPr>
      <w:r>
        <w:rPr>
          <w:color w:val="000000"/>
          <w:sz w:val="20"/>
          <w:szCs w:val="20"/>
          <w:shd w:fill="FFFFFF" w:val="clear"/>
        </w:rPr>
        <w:t>Relação dos pagamentos já efetuados e ainda devidos;</w:t>
      </w:r>
    </w:p>
    <w:p>
      <w:pPr>
        <w:pStyle w:val="Nivel3"/>
        <w:widowControl/>
        <w:numPr>
          <w:ilvl w:val="2"/>
          <w:numId w:val="1"/>
        </w:numPr>
        <w:suppressAutoHyphens w:val="true"/>
        <w:overflowPunct w:val="true"/>
        <w:bidi w:val="0"/>
        <w:spacing w:lineRule="auto" w:line="240" w:before="0" w:after="0"/>
        <w:ind w:left="0" w:right="0" w:firstLine="567"/>
        <w:jc w:val="both"/>
        <w:rPr>
          <w:rFonts w:ascii="Arial" w:hAnsi="Arial"/>
          <w:color w:val="000000"/>
          <w:sz w:val="20"/>
          <w:szCs w:val="20"/>
          <w:shd w:fill="FFFFFF" w:val="clear"/>
        </w:rPr>
      </w:pPr>
      <w:r>
        <w:rPr>
          <w:color w:val="000000"/>
          <w:sz w:val="20"/>
          <w:szCs w:val="20"/>
          <w:shd w:fill="FFFFFF" w:val="clear"/>
        </w:rPr>
        <w:t>Indenizações e multas.</w:t>
      </w:r>
    </w:p>
    <w:p>
      <w:pPr>
        <w:pStyle w:val="Nivel2"/>
        <w:numPr>
          <w:ilvl w:val="1"/>
          <w:numId w:val="1"/>
        </w:numPr>
        <w:spacing w:lineRule="auto" w:line="240" w:before="0" w:after="0"/>
        <w:rPr>
          <w:rFonts w:ascii="Arial" w:hAnsi="Arial" w:cs="Arial"/>
          <w:b/>
          <w:b/>
          <w:bCs/>
          <w:color w:val="5B5B5F"/>
          <w:sz w:val="26"/>
          <w:szCs w:val="26"/>
        </w:rPr>
      </w:pPr>
      <w:r>
        <w:rPr>
          <w:color w:val="000000"/>
          <w:sz w:val="20"/>
          <w:szCs w:val="20"/>
          <w:shd w:fill="FFFFFF" w:val="clear"/>
        </w:rPr>
        <w:t>A extinção do contrato não configura óbice para o reconhecimento do desequilíbrio econômico-financeiro, hipótese em que será concedida indenização por meio de termo indenizatório (</w:t>
      </w:r>
      <w:r>
        <w:fldChar w:fldCharType="begin"/>
      </w:r>
      <w:r>
        <w:rPr>
          <w:rStyle w:val="LinkdaInternet"/>
          <w:sz w:val="20"/>
          <w:shd w:fill="FFFFFF" w:val="clear"/>
          <w:szCs w:val="20"/>
          <w:color w:val="000000"/>
        </w:rPr>
        <w:instrText> HYPERLINK "http://www.planalto.gov.br/ccivil_03/_ato2019-2022/2021/lei/L14133.htm" \l "art131"</w:instrText>
      </w:r>
      <w:r>
        <w:rPr>
          <w:rStyle w:val="LinkdaInternet"/>
          <w:sz w:val="20"/>
          <w:shd w:fill="FFFFFF" w:val="clear"/>
          <w:szCs w:val="20"/>
          <w:color w:val="000000"/>
        </w:rPr>
        <w:fldChar w:fldCharType="separate"/>
      </w:r>
      <w:r>
        <w:rPr>
          <w:rStyle w:val="LinkdaInternet"/>
          <w:color w:val="000000"/>
          <w:sz w:val="20"/>
          <w:szCs w:val="20"/>
          <w:shd w:fill="FFFFFF" w:val="clear"/>
        </w:rPr>
        <w:t xml:space="preserve">art. 131, </w:t>
      </w:r>
      <w:r>
        <w:rPr>
          <w:rStyle w:val="LinkdaInternet"/>
          <w:sz w:val="20"/>
          <w:shd w:fill="FFFFFF" w:val="clear"/>
          <w:szCs w:val="20"/>
          <w:color w:val="000000"/>
        </w:rPr>
        <w:fldChar w:fldCharType="end"/>
      </w:r>
      <w:r>
        <w:rPr>
          <w:rStyle w:val="LinkdaInternet"/>
          <w:i/>
          <w:iCs/>
          <w:color w:val="000000"/>
          <w:sz w:val="20"/>
          <w:szCs w:val="20"/>
          <w:shd w:fill="FFFFFF" w:val="clear"/>
        </w:rPr>
        <w:t xml:space="preserve">caput, </w:t>
      </w:r>
      <w:r>
        <w:rPr>
          <w:rStyle w:val="LinkdaInternet"/>
          <w:color w:val="000000"/>
          <w:sz w:val="20"/>
          <w:szCs w:val="20"/>
          <w:shd w:fill="FFFFFF" w:val="clear"/>
        </w:rPr>
        <w:t>da Lei n.º 14.133, de 2021).</w:t>
      </w:r>
      <w:r>
        <w:rPr>
          <w:color w:val="000000"/>
          <w:sz w:val="20"/>
          <w:szCs w:val="20"/>
          <w:shd w:fill="FFFFFF" w:val="clear"/>
        </w:rPr>
        <w:t xml:space="preserve"> </w:t>
      </w:r>
    </w:p>
    <w:p>
      <w:pPr>
        <w:pStyle w:val="Nivel2"/>
        <w:numPr>
          <w:ilvl w:val="1"/>
          <w:numId w:val="1"/>
        </w:numPr>
        <w:spacing w:lineRule="auto" w:line="240" w:before="0" w:after="0"/>
        <w:rPr>
          <w:rFonts w:ascii="Arial" w:hAnsi="Arial"/>
          <w:color w:val="000000"/>
          <w:sz w:val="20"/>
          <w:szCs w:val="20"/>
          <w:shd w:fill="FFFFFF" w:val="clear"/>
        </w:rPr>
      </w:pPr>
      <w:r>
        <w:rPr>
          <w:color w:val="000000"/>
          <w:sz w:val="20"/>
          <w:szCs w:val="20"/>
          <w:shd w:fill="FFFFFF" w:val="clear"/>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pPr>
        <w:pStyle w:val="Nivel2"/>
        <w:numPr>
          <w:ilvl w:val="0"/>
          <w:numId w:val="0"/>
        </w:numPr>
        <w:spacing w:lineRule="auto" w:line="240" w:before="0" w:after="0"/>
        <w:ind w:left="0" w:right="0" w:hanging="0"/>
        <w:rPr>
          <w:rFonts w:ascii="Arial" w:hAnsi="Arial"/>
          <w:color w:val="000000"/>
          <w:sz w:val="20"/>
          <w:szCs w:val="20"/>
          <w:shd w:fill="FFFFFF" w:val="clear"/>
        </w:rPr>
      </w:pPr>
      <w:r>
        <w:rPr>
          <w:color w:val="000000"/>
          <w:sz w:val="20"/>
          <w:szCs w:val="20"/>
          <w:shd w:fill="FFFFFF" w:val="clear"/>
        </w:rPr>
      </w:r>
    </w:p>
    <w:p>
      <w:pPr>
        <w:pStyle w:val="Nivel01"/>
        <w:numPr>
          <w:ilvl w:val="0"/>
          <w:numId w:val="1"/>
        </w:numPr>
        <w:spacing w:lineRule="auto" w:line="240" w:before="0" w:after="0"/>
        <w:rPr>
          <w:rFonts w:ascii="Arial" w:hAnsi="Arial" w:cs="Arial"/>
          <w:b/>
          <w:b/>
          <w:bCs/>
          <w:color w:val="5B5B5F"/>
          <w:sz w:val="26"/>
          <w:szCs w:val="26"/>
        </w:rPr>
      </w:pPr>
      <w:r>
        <w:rPr>
          <w:sz w:val="20"/>
          <w:szCs w:val="20"/>
        </w:rPr>
        <w:t>CLÁUSULA DÉCIMA QUARTA – DOTAÇÃO ORÇAMENTÁRIA (</w:t>
      </w:r>
      <w:r>
        <w:fldChar w:fldCharType="begin"/>
      </w:r>
      <w:r>
        <w:rPr>
          <w:rStyle w:val="LinkdaInternet"/>
          <w:sz w:val="20"/>
          <w:szCs w:val="20"/>
        </w:rPr>
        <w:instrText> HYPERLINK "http://www.planalto.gov.br/ccivil_03/_ato2019-2022/2021/lei/L14133.htm" \l "art92"</w:instrText>
      </w:r>
      <w:r>
        <w:rPr>
          <w:rStyle w:val="LinkdaInternet"/>
          <w:sz w:val="20"/>
          <w:szCs w:val="20"/>
        </w:rPr>
        <w:fldChar w:fldCharType="separate"/>
      </w:r>
      <w:r>
        <w:rPr>
          <w:rStyle w:val="LinkdaInternet"/>
          <w:sz w:val="20"/>
          <w:szCs w:val="20"/>
        </w:rPr>
        <w:t>art. 92, VIII</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sz w:val="20"/>
          <w:szCs w:val="20"/>
        </w:rPr>
      </w:pPr>
      <w:r>
        <w:rPr>
          <w:sz w:val="20"/>
          <w:szCs w:val="20"/>
        </w:rPr>
        <w:t xml:space="preserve">As despesas decorrentes da presente contratação correrão à conta de recursos específicos consignados no Orçamento </w:t>
      </w:r>
      <w:r>
        <w:rPr>
          <w:rFonts w:eastAsia="ＭＳ 明朝" w:cs="Arial"/>
          <w:color w:val="000000"/>
          <w:kern w:val="0"/>
          <w:sz w:val="20"/>
          <w:szCs w:val="20"/>
          <w:lang w:val="pt-BR" w:eastAsia="pt-BR" w:bidi="ar-SA"/>
        </w:rPr>
        <w:t xml:space="preserve">Municipal </w:t>
      </w:r>
      <w:r>
        <w:rPr>
          <w:sz w:val="20"/>
          <w:szCs w:val="20"/>
        </w:rPr>
        <w:t>deste exercício, na dotação abaixo discriminada:</w:t>
      </w:r>
    </w:p>
    <w:tbl>
      <w:tblPr>
        <w:tblW w:w="9120" w:type="dxa"/>
        <w:jc w:val="left"/>
        <w:tblInd w:w="-11" w:type="dxa"/>
        <w:tblLayout w:type="fixed"/>
        <w:tblCellMar>
          <w:top w:w="0" w:type="dxa"/>
          <w:left w:w="10" w:type="dxa"/>
          <w:bottom w:w="0" w:type="dxa"/>
          <w:right w:w="65" w:type="dxa"/>
        </w:tblCellMar>
      </w:tblPr>
      <w:tblGrid>
        <w:gridCol w:w="2715"/>
        <w:gridCol w:w="6404"/>
      </w:tblGrid>
      <w:tr>
        <w:trPr/>
        <w:tc>
          <w:tcPr>
            <w:tcW w:w="2715" w:type="dxa"/>
            <w:tcBorders>
              <w:top w:val="single" w:sz="8" w:space="0" w:color="000001"/>
              <w:left w:val="single" w:sz="8" w:space="0" w:color="000001"/>
              <w:bottom w:val="single" w:sz="8" w:space="0" w:color="000001"/>
            </w:tcBorders>
            <w:shd w:fill="FFFFFF" w:val="clear"/>
          </w:tcPr>
          <w:p>
            <w:pPr>
              <w:pStyle w:val="Standard"/>
              <w:widowControl w:val="false"/>
              <w:numPr>
                <w:ilvl w:val="0"/>
                <w:numId w:val="0"/>
              </w:numPr>
              <w:snapToGrid w:val="false"/>
              <w:spacing w:lineRule="auto" w:line="240" w:before="0" w:after="0"/>
              <w:ind w:left="0" w:hanging="0"/>
              <w:jc w:val="both"/>
              <w:rPr>
                <w:rFonts w:ascii="Arial" w:hAnsi="Arial"/>
                <w:sz w:val="20"/>
                <w:szCs w:val="20"/>
              </w:rPr>
            </w:pPr>
            <w:r>
              <w:rPr>
                <w:rFonts w:eastAsia="Calibri" w:cs="Arial" w:ascii="Arial" w:hAnsi="Arial"/>
                <w:color w:val="000000"/>
                <w:kern w:val="2"/>
                <w:sz w:val="20"/>
                <w:szCs w:val="20"/>
                <w:lang w:val="pt-BR" w:eastAsia="zh-CN" w:bidi="ar-SA"/>
              </w:rPr>
              <w:t xml:space="preserve">800 </w:t>
            </w:r>
            <w:r>
              <w:rPr>
                <w:rFonts w:cs="Arial" w:ascii="Arial" w:hAnsi="Arial"/>
                <w:color w:val="000000"/>
                <w:sz w:val="20"/>
                <w:szCs w:val="20"/>
              </w:rPr>
              <w:t>4.4.90.51.00</w:t>
            </w:r>
          </w:p>
        </w:tc>
        <w:tc>
          <w:tcPr>
            <w:tcW w:w="6404" w:type="dxa"/>
            <w:tcBorders>
              <w:top w:val="single" w:sz="8" w:space="0" w:color="000001"/>
              <w:left w:val="single" w:sz="4" w:space="0" w:color="000001"/>
              <w:bottom w:val="single" w:sz="8" w:space="0" w:color="000001"/>
              <w:right w:val="single" w:sz="8" w:space="0" w:color="000001"/>
            </w:tcBorders>
            <w:shd w:fill="FFFFFF" w:val="clear"/>
          </w:tcPr>
          <w:p>
            <w:pPr>
              <w:pStyle w:val="Standard"/>
              <w:widowControl w:val="false"/>
              <w:numPr>
                <w:ilvl w:val="0"/>
                <w:numId w:val="0"/>
              </w:numPr>
              <w:snapToGrid w:val="false"/>
              <w:spacing w:lineRule="auto" w:line="240" w:before="0" w:after="0"/>
              <w:ind w:left="0" w:hanging="0"/>
              <w:jc w:val="both"/>
              <w:rPr>
                <w:rFonts w:ascii="Arial" w:hAnsi="Arial"/>
                <w:sz w:val="20"/>
                <w:szCs w:val="20"/>
              </w:rPr>
            </w:pPr>
            <w:r>
              <w:rPr>
                <w:rFonts w:cs="Arial" w:ascii="Arial" w:hAnsi="Arial"/>
                <w:color w:val="000000"/>
                <w:sz w:val="20"/>
                <w:szCs w:val="20"/>
              </w:rPr>
              <w:t xml:space="preserve">Obras e instalações – </w:t>
            </w:r>
            <w:r>
              <w:rPr>
                <w:rFonts w:eastAsia="Calibri" w:cs="Arial" w:ascii="Arial" w:hAnsi="Arial"/>
                <w:color w:val="000000"/>
                <w:kern w:val="2"/>
                <w:sz w:val="20"/>
                <w:szCs w:val="20"/>
                <w:lang w:val="pt-BR" w:eastAsia="zh-CN" w:bidi="ar-SA"/>
              </w:rPr>
              <w:t>Recurso Próprio</w:t>
            </w:r>
          </w:p>
        </w:tc>
      </w:tr>
      <w:tr>
        <w:trPr>
          <w:trHeight w:val="281" w:hRule="atLeast"/>
        </w:trPr>
        <w:tc>
          <w:tcPr>
            <w:tcW w:w="2715" w:type="dxa"/>
            <w:tcBorders>
              <w:left w:val="single" w:sz="8" w:space="0" w:color="000001"/>
              <w:bottom w:val="single" w:sz="8" w:space="0" w:color="000001"/>
            </w:tcBorders>
            <w:shd w:fill="FFFFFF" w:val="clear"/>
          </w:tcPr>
          <w:p>
            <w:pPr>
              <w:pStyle w:val="Standard"/>
              <w:widowControl w:val="false"/>
              <w:numPr>
                <w:ilvl w:val="0"/>
                <w:numId w:val="0"/>
              </w:numPr>
              <w:snapToGrid w:val="false"/>
              <w:spacing w:lineRule="auto" w:line="240" w:before="0" w:after="0"/>
              <w:ind w:left="0" w:hanging="0"/>
              <w:jc w:val="both"/>
              <w:rPr>
                <w:rFonts w:ascii="Arial" w:hAnsi="Arial"/>
                <w:sz w:val="20"/>
                <w:szCs w:val="20"/>
              </w:rPr>
            </w:pPr>
            <w:r>
              <w:rPr>
                <w:rFonts w:eastAsia="Calibri" w:cs="Arial" w:ascii="Arial" w:hAnsi="Arial"/>
                <w:color w:val="000000"/>
                <w:kern w:val="2"/>
                <w:sz w:val="20"/>
                <w:szCs w:val="20"/>
                <w:lang w:val="pt-BR" w:eastAsia="zh-CN" w:bidi="ar-SA"/>
              </w:rPr>
              <w:t>801</w:t>
            </w:r>
            <w:r>
              <w:rPr>
                <w:rFonts w:cs="Arial" w:ascii="Arial" w:hAnsi="Arial"/>
                <w:color w:val="000000"/>
                <w:sz w:val="20"/>
                <w:szCs w:val="20"/>
              </w:rPr>
              <w:t xml:space="preserve"> 4.4.90.51.00</w:t>
            </w:r>
          </w:p>
        </w:tc>
        <w:tc>
          <w:tcPr>
            <w:tcW w:w="6404" w:type="dxa"/>
            <w:tcBorders>
              <w:left w:val="single" w:sz="4" w:space="0" w:color="000001"/>
              <w:bottom w:val="single" w:sz="8" w:space="0" w:color="000001"/>
              <w:right w:val="single" w:sz="8" w:space="0" w:color="000001"/>
            </w:tcBorders>
            <w:shd w:fill="FFFFFF" w:val="clear"/>
          </w:tcPr>
          <w:p>
            <w:pPr>
              <w:pStyle w:val="Standard"/>
              <w:widowControl w:val="false"/>
              <w:numPr>
                <w:ilvl w:val="0"/>
                <w:numId w:val="0"/>
              </w:numPr>
              <w:snapToGrid w:val="false"/>
              <w:spacing w:lineRule="auto" w:line="240" w:before="0" w:after="0"/>
              <w:ind w:left="0" w:hanging="0"/>
              <w:jc w:val="both"/>
              <w:rPr>
                <w:rFonts w:ascii="Arial" w:hAnsi="Arial"/>
                <w:sz w:val="20"/>
                <w:szCs w:val="20"/>
              </w:rPr>
            </w:pPr>
            <w:r>
              <w:rPr>
                <w:rFonts w:cs="Arial" w:ascii="Arial" w:hAnsi="Arial"/>
                <w:color w:val="000000"/>
                <w:sz w:val="20"/>
                <w:szCs w:val="20"/>
              </w:rPr>
              <w:t xml:space="preserve">Obras e instalações – </w:t>
            </w:r>
            <w:r>
              <w:rPr>
                <w:rFonts w:eastAsia="Calibri" w:cs="Arial" w:ascii="Arial" w:hAnsi="Arial"/>
                <w:color w:val="000000"/>
                <w:kern w:val="2"/>
                <w:sz w:val="20"/>
                <w:szCs w:val="20"/>
                <w:lang w:val="pt-BR" w:eastAsia="zh-CN" w:bidi="ar-SA"/>
              </w:rPr>
              <w:t>Recurso Estadual</w:t>
            </w:r>
          </w:p>
        </w:tc>
      </w:tr>
    </w:tbl>
    <w:p>
      <w:pPr>
        <w:pStyle w:val="Nivel2"/>
        <w:numPr>
          <w:ilvl w:val="0"/>
          <w:numId w:val="0"/>
        </w:numPr>
        <w:spacing w:lineRule="auto" w:line="240" w:before="0" w:after="0"/>
        <w:ind w:left="0" w:right="0" w:hanging="0"/>
        <w:rPr>
          <w:rFonts w:ascii="Arial" w:hAnsi="Arial"/>
          <w:sz w:val="20"/>
          <w:szCs w:val="20"/>
        </w:rPr>
      </w:pPr>
      <w:r>
        <w:rPr>
          <w:sz w:val="20"/>
          <w:szCs w:val="20"/>
        </w:rPr>
        <w:t xml:space="preserve">14.2. </w:t>
      </w:r>
      <w:commentRangeStart w:id="49"/>
      <w:r>
        <w:rPr>
          <w:sz w:val="20"/>
          <w:szCs w:val="20"/>
        </w:rPr>
        <w:t>A dotação relativa aos exercícios financeiros subsequentes será indicada após aprovação da Lei Orçamentária respectiva e liberação dos créditos correspondentes, mediante apostilamento.</w:t>
      </w:r>
      <w:commentRangeEnd w:id="49"/>
      <w:r>
        <w:commentReference w:id="49"/>
      </w:r>
      <w:r>
        <w:rPr>
          <w:sz w:val="20"/>
          <w:szCs w:val="20"/>
        </w:rPr>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rPr>
          <w:rFonts w:ascii="Arial" w:hAnsi="Arial" w:cs="Arial"/>
          <w:b/>
          <w:b/>
          <w:bCs/>
          <w:color w:val="5B5B5F"/>
          <w:sz w:val="26"/>
          <w:szCs w:val="26"/>
        </w:rPr>
      </w:pPr>
      <w:r>
        <w:rPr>
          <w:sz w:val="20"/>
          <w:szCs w:val="20"/>
        </w:rPr>
        <w:t>CLÁUSULA DÉCIMA QUINTA – DOS CASOS OMISSOS (</w:t>
      </w:r>
      <w:r>
        <w:fldChar w:fldCharType="begin"/>
      </w:r>
      <w:r>
        <w:rPr>
          <w:rStyle w:val="LinkdaInternet"/>
          <w:sz w:val="20"/>
          <w:szCs w:val="20"/>
        </w:rPr>
        <w:instrText> HYPERLINK "http://www.planalto.gov.br/ccivil_03/_ato2019-2022/2021/lei/L14133.htm" \l "art92"</w:instrText>
      </w:r>
      <w:r>
        <w:rPr>
          <w:rStyle w:val="LinkdaInternet"/>
          <w:sz w:val="20"/>
          <w:szCs w:val="20"/>
        </w:rPr>
        <w:fldChar w:fldCharType="separate"/>
      </w:r>
      <w:r>
        <w:rPr>
          <w:rStyle w:val="LinkdaInternet"/>
          <w:sz w:val="20"/>
          <w:szCs w:val="20"/>
        </w:rPr>
        <w:t>art. 92, III</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cs="Arial"/>
          <w:b/>
          <w:b/>
          <w:bCs/>
          <w:color w:val="5B5B5F"/>
          <w:sz w:val="26"/>
          <w:szCs w:val="26"/>
        </w:rPr>
      </w:pPr>
      <w:commentRangeStart w:id="50"/>
      <w:r>
        <w:rPr>
          <w:sz w:val="20"/>
          <w:szCs w:val="20"/>
        </w:rPr>
        <w:t xml:space="preserve">Os casos omissos serão decididos pelo contratante, segundo as disposições contidas na </w:t>
      </w:r>
      <w:hyperlink r:id="rId41">
        <w:r>
          <w:rPr>
            <w:sz w:val="20"/>
            <w:szCs w:val="20"/>
          </w:rPr>
          <w:t>Lei nº 14.133, de 2021</w:t>
        </w:r>
      </w:hyperlink>
      <w:r>
        <w:rPr>
          <w:sz w:val="20"/>
          <w:szCs w:val="20"/>
        </w:rPr>
        <w:t xml:space="preserve">, e demais normas federais aplicáveis e, subsidiariamente, segundo as disposições contidas na </w:t>
      </w:r>
      <w:hyperlink r:id="rId42">
        <w:r>
          <w:rPr>
            <w:rStyle w:val="LinkdaInternet"/>
            <w:sz w:val="20"/>
            <w:szCs w:val="20"/>
          </w:rPr>
          <w:t>Lei nº 8.078, de 1990 – Código de Defesa do Consumidor</w:t>
        </w:r>
      </w:hyperlink>
      <w:r>
        <w:rPr>
          <w:sz w:val="20"/>
          <w:szCs w:val="20"/>
        </w:rPr>
        <w:t xml:space="preserve"> – e normas e princípios gerais dos contratos.</w:t>
      </w:r>
      <w:commentRangeEnd w:id="50"/>
      <w:r>
        <w:commentReference w:id="50"/>
      </w:r>
      <w:r>
        <w:rPr>
          <w:sz w:val="20"/>
          <w:szCs w:val="20"/>
        </w:rPr>
      </w:r>
    </w:p>
    <w:p>
      <w:pPr>
        <w:pStyle w:val="Nivel2"/>
        <w:numPr>
          <w:ilvl w:val="0"/>
          <w:numId w:val="0"/>
        </w:numPr>
        <w:spacing w:lineRule="auto" w:line="240" w:before="0" w:after="0"/>
        <w:ind w:left="0" w:right="0" w:hanging="0"/>
        <w:rPr>
          <w:rFonts w:ascii="Arial" w:hAnsi="Arial"/>
          <w:sz w:val="20"/>
          <w:szCs w:val="20"/>
        </w:rPr>
      </w:pPr>
      <w:r>
        <w:rPr>
          <w:sz w:val="20"/>
          <w:szCs w:val="20"/>
        </w:rPr>
      </w:r>
    </w:p>
    <w:p>
      <w:pPr>
        <w:pStyle w:val="Nivel01"/>
        <w:numPr>
          <w:ilvl w:val="0"/>
          <w:numId w:val="1"/>
        </w:numPr>
        <w:spacing w:lineRule="auto" w:line="240" w:before="0" w:after="0"/>
        <w:rPr>
          <w:rFonts w:ascii="Arial" w:hAnsi="Arial"/>
          <w:sz w:val="20"/>
          <w:szCs w:val="20"/>
        </w:rPr>
      </w:pPr>
      <w:r>
        <w:rPr>
          <w:sz w:val="20"/>
          <w:szCs w:val="20"/>
        </w:rPr>
        <w:t>CLÁUSULA DÉCIMA SEXTA – ALTERAÇÕES</w:t>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Eventuais alterações contratuais reger-se-ão pela disciplina dos </w:t>
      </w:r>
      <w:r>
        <w:fldChar w:fldCharType="begin"/>
      </w:r>
      <w:r>
        <w:rPr>
          <w:rStyle w:val="LinkdaInternet"/>
          <w:sz w:val="20"/>
          <w:szCs w:val="20"/>
        </w:rPr>
        <w:instrText> HYPERLINK "http://www.planalto.gov.br/ccivil_03/_ato2019-2022/2021/lei/L14133.htm" \l "art124"</w:instrText>
      </w:r>
      <w:r>
        <w:rPr>
          <w:rStyle w:val="LinkdaInternet"/>
          <w:sz w:val="20"/>
          <w:szCs w:val="20"/>
        </w:rPr>
        <w:fldChar w:fldCharType="separate"/>
      </w:r>
      <w:r>
        <w:rPr>
          <w:rStyle w:val="LinkdaInternet"/>
          <w:sz w:val="20"/>
          <w:szCs w:val="20"/>
        </w:rPr>
        <w:t>arts. 124 e seguintes da Lei nº 14.133, de 2021</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sz w:val="20"/>
          <w:szCs w:val="20"/>
        </w:rPr>
      </w:pPr>
      <w:r>
        <w:rPr>
          <w:sz w:val="20"/>
          <w:szCs w:val="20"/>
        </w:rPr>
        <w:t>O contratado é obrigado a aceitar, nas mesmas condições contratuais, os acréscimos ou supressões que se fizerem necessários, até o limite de 25% (vinte e cinco por cento) do valor inicial atualizado do contrato.</w:t>
      </w:r>
    </w:p>
    <w:p>
      <w:pPr>
        <w:pStyle w:val="Nivel2"/>
        <w:numPr>
          <w:ilvl w:val="1"/>
          <w:numId w:val="1"/>
        </w:numPr>
        <w:spacing w:lineRule="auto" w:line="240" w:before="0" w:after="0"/>
        <w:rPr>
          <w:rFonts w:ascii="Arial" w:hAnsi="Arial"/>
          <w:color w:val="000000"/>
          <w:sz w:val="20"/>
          <w:szCs w:val="20"/>
          <w:shd w:fill="FFFFFF" w:val="clear"/>
        </w:rPr>
      </w:pPr>
      <w:r>
        <w:rPr>
          <w:color w:val="000000"/>
          <w:sz w:val="20"/>
          <w:szCs w:val="20"/>
          <w:shd w:fill="FFFFFF" w:val="clear"/>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pPr>
        <w:pStyle w:val="Nivel2"/>
        <w:numPr>
          <w:ilvl w:val="1"/>
          <w:numId w:val="1"/>
        </w:numPr>
        <w:spacing w:lineRule="auto" w:line="240" w:before="0" w:after="0"/>
        <w:rPr>
          <w:rFonts w:ascii="Arial" w:hAnsi="Arial" w:cs="Arial"/>
          <w:b/>
          <w:b/>
          <w:bCs/>
          <w:color w:val="5B5B5F"/>
          <w:sz w:val="26"/>
          <w:szCs w:val="26"/>
        </w:rPr>
      </w:pPr>
      <w:r>
        <w:rPr>
          <w:color w:val="000000"/>
          <w:sz w:val="20"/>
          <w:szCs w:val="20"/>
          <w:shd w:fill="FFFFFF" w:val="clear"/>
        </w:rPr>
        <w:t xml:space="preserve">Registros que não caracterizam alteração do contrato podem ser realizados por simples apostila, dispensada a celebração de termo aditivo, na forma do </w:t>
      </w:r>
      <w:r>
        <w:fldChar w:fldCharType="begin"/>
      </w:r>
      <w:r>
        <w:rPr>
          <w:rStyle w:val="LinkdaInternet"/>
          <w:sz w:val="20"/>
          <w:shd w:fill="FFFFFF" w:val="clear"/>
          <w:szCs w:val="20"/>
          <w:color w:val="000000"/>
        </w:rPr>
        <w:instrText> HYPERLINK "http://www.planalto.gov.br/ccivil_03/_ato2019-2022/2021/lei/L14133.htm" \l "art136"</w:instrText>
      </w:r>
      <w:r>
        <w:rPr>
          <w:rStyle w:val="LinkdaInternet"/>
          <w:sz w:val="20"/>
          <w:shd w:fill="FFFFFF" w:val="clear"/>
          <w:szCs w:val="20"/>
          <w:color w:val="000000"/>
        </w:rPr>
        <w:fldChar w:fldCharType="separate"/>
      </w:r>
      <w:r>
        <w:rPr>
          <w:rStyle w:val="LinkdaInternet"/>
          <w:color w:val="000000"/>
          <w:sz w:val="20"/>
          <w:szCs w:val="20"/>
          <w:shd w:fill="FFFFFF" w:val="clear"/>
        </w:rPr>
        <w:t>art. 136 da Lei nº 14.133, de 2021</w:t>
      </w:r>
      <w:r>
        <w:rPr>
          <w:rStyle w:val="LinkdaInternet"/>
          <w:sz w:val="20"/>
          <w:shd w:fill="FFFFFF" w:val="clear"/>
          <w:szCs w:val="20"/>
          <w:color w:val="000000"/>
        </w:rPr>
        <w:fldChar w:fldCharType="end"/>
      </w:r>
      <w:r>
        <w:rPr>
          <w:color w:val="000000"/>
          <w:sz w:val="20"/>
          <w:szCs w:val="20"/>
          <w:shd w:fill="FFFFFF" w:val="clear"/>
        </w:rPr>
        <w:t>.</w:t>
      </w:r>
    </w:p>
    <w:p>
      <w:pPr>
        <w:pStyle w:val="Nivel2"/>
        <w:numPr>
          <w:ilvl w:val="0"/>
          <w:numId w:val="0"/>
        </w:numPr>
        <w:spacing w:lineRule="auto" w:line="240" w:before="0" w:after="0"/>
        <w:ind w:left="0" w:right="0" w:hanging="0"/>
        <w:rPr>
          <w:rFonts w:ascii="Arial" w:hAnsi="Arial"/>
          <w:color w:val="000000"/>
          <w:sz w:val="20"/>
          <w:szCs w:val="20"/>
          <w:shd w:fill="FFFFFF" w:val="clear"/>
        </w:rPr>
      </w:pPr>
      <w:r>
        <w:rPr>
          <w:color w:val="000000"/>
          <w:sz w:val="20"/>
          <w:szCs w:val="20"/>
          <w:shd w:fill="FFFFFF" w:val="clear"/>
        </w:rPr>
      </w:r>
    </w:p>
    <w:p>
      <w:pPr>
        <w:pStyle w:val="Nivel01"/>
        <w:numPr>
          <w:ilvl w:val="0"/>
          <w:numId w:val="1"/>
        </w:numPr>
        <w:spacing w:lineRule="auto" w:line="240" w:before="0" w:after="0"/>
        <w:rPr>
          <w:rFonts w:ascii="Arial" w:hAnsi="Arial"/>
          <w:color w:val="000000"/>
          <w:sz w:val="20"/>
          <w:szCs w:val="20"/>
          <w:shd w:fill="FFFFFF" w:val="clear"/>
        </w:rPr>
      </w:pPr>
      <w:r>
        <w:rPr>
          <w:color w:val="000000"/>
          <w:sz w:val="20"/>
          <w:szCs w:val="20"/>
          <w:shd w:fill="FFFFFF" w:val="clear"/>
        </w:rPr>
        <w:t>CLÁUSULA DÉCIMA SÉTIMA – PUBLICAÇÃO</w:t>
      </w:r>
    </w:p>
    <w:p>
      <w:pPr>
        <w:pStyle w:val="Nivel2"/>
        <w:numPr>
          <w:ilvl w:val="1"/>
          <w:numId w:val="1"/>
        </w:numPr>
        <w:spacing w:lineRule="auto" w:line="240" w:before="0" w:after="0"/>
        <w:rPr>
          <w:rFonts w:ascii="Arial" w:hAnsi="Arial" w:cs="Arial"/>
          <w:b/>
          <w:b/>
          <w:bCs/>
          <w:color w:val="5B5B5F"/>
          <w:sz w:val="26"/>
          <w:szCs w:val="26"/>
        </w:rPr>
      </w:pPr>
      <w:r>
        <w:rPr>
          <w:color w:val="000000"/>
          <w:sz w:val="20"/>
          <w:szCs w:val="20"/>
          <w:shd w:fill="FFFFFF" w:val="clear"/>
        </w:rPr>
        <w:t xml:space="preserve">Incumbirá ao contratante divulgar o presente instrumento no Portal Nacional de Contratações Públicas (PNCP), na forma prevista no </w:t>
      </w:r>
      <w:r>
        <w:fldChar w:fldCharType="begin"/>
      </w:r>
      <w:r>
        <w:rPr>
          <w:rStyle w:val="LinkdaInternet"/>
          <w:sz w:val="20"/>
          <w:shd w:fill="FFFFFF" w:val="clear"/>
          <w:szCs w:val="20"/>
          <w:color w:val="000000"/>
        </w:rPr>
        <w:instrText> HYPERLINK "http://www.planalto.gov.br/ccivil_03/_ato2019-2022/2021/lei/L14133.htm" \l "art94"</w:instrText>
      </w:r>
      <w:r>
        <w:rPr>
          <w:rStyle w:val="LinkdaInternet"/>
          <w:sz w:val="20"/>
          <w:shd w:fill="FFFFFF" w:val="clear"/>
          <w:szCs w:val="20"/>
          <w:color w:val="000000"/>
        </w:rPr>
        <w:fldChar w:fldCharType="separate"/>
      </w:r>
      <w:r>
        <w:rPr>
          <w:rStyle w:val="LinkdaInternet"/>
          <w:color w:val="000000"/>
          <w:sz w:val="20"/>
          <w:szCs w:val="20"/>
          <w:shd w:fill="FFFFFF" w:val="clear"/>
        </w:rPr>
        <w:t>art. 94 da Lei 14.133, de 2021</w:t>
      </w:r>
      <w:r>
        <w:rPr>
          <w:rStyle w:val="LinkdaInternet"/>
          <w:sz w:val="20"/>
          <w:shd w:fill="FFFFFF" w:val="clear"/>
          <w:szCs w:val="20"/>
          <w:color w:val="000000"/>
        </w:rPr>
        <w:fldChar w:fldCharType="end"/>
      </w:r>
      <w:r>
        <w:rPr>
          <w:color w:val="000000"/>
          <w:sz w:val="20"/>
          <w:szCs w:val="20"/>
          <w:shd w:fill="FFFFFF" w:val="clear"/>
        </w:rPr>
        <w:t xml:space="preserve">, bem como no respectivo sítio oficial na Internet, em atenção ao art. 91, </w:t>
      </w:r>
      <w:r>
        <w:rPr>
          <w:i/>
          <w:iCs/>
          <w:color w:val="000000"/>
          <w:sz w:val="20"/>
          <w:szCs w:val="20"/>
          <w:shd w:fill="FFFFFF" w:val="clear"/>
        </w:rPr>
        <w:t>caput,</w:t>
      </w:r>
      <w:r>
        <w:rPr>
          <w:color w:val="000000"/>
          <w:sz w:val="20"/>
          <w:szCs w:val="20"/>
          <w:shd w:fill="FFFFFF" w:val="clear"/>
        </w:rPr>
        <w:t xml:space="preserve"> da Lei n.º 14.133, de 2021, e ao  </w:t>
      </w:r>
      <w:r>
        <w:fldChar w:fldCharType="begin"/>
      </w:r>
      <w:r>
        <w:rPr>
          <w:rStyle w:val="LinkdaInternet"/>
          <w:sz w:val="20"/>
          <w:shd w:fill="FFFFFF" w:val="clear"/>
          <w:szCs w:val="20"/>
          <w:color w:val="000000"/>
        </w:rPr>
        <w:instrText> HYPERLINK "https://www.planalto.gov.br/ccivil_03/_ato2011-2014/2011/lei/l12527.htm" \l "art8§2"</w:instrText>
      </w:r>
      <w:r>
        <w:rPr>
          <w:rStyle w:val="LinkdaInternet"/>
          <w:sz w:val="20"/>
          <w:shd w:fill="FFFFFF" w:val="clear"/>
          <w:szCs w:val="20"/>
          <w:color w:val="000000"/>
        </w:rPr>
        <w:fldChar w:fldCharType="separate"/>
      </w:r>
      <w:r>
        <w:rPr>
          <w:rStyle w:val="LinkdaInternet"/>
          <w:color w:val="000000"/>
          <w:sz w:val="20"/>
          <w:szCs w:val="20"/>
          <w:shd w:fill="FFFFFF" w:val="clear"/>
        </w:rPr>
        <w:t xml:space="preserve">art. 8º, §2º, da </w:t>
      </w:r>
      <w:r>
        <w:rPr>
          <w:rStyle w:val="LinkdaInternet"/>
          <w:sz w:val="20"/>
          <w:shd w:fill="FFFFFF" w:val="clear"/>
          <w:szCs w:val="20"/>
          <w:color w:val="000000"/>
        </w:rPr>
        <w:fldChar w:fldCharType="end"/>
      </w:r>
      <w:r>
        <w:rPr>
          <w:rStyle w:val="LinkdaInternet"/>
          <w:sz w:val="20"/>
          <w:szCs w:val="20"/>
        </w:rPr>
        <w:t>Lei n. 12.527, de 2011</w:t>
      </w:r>
      <w:r>
        <w:rPr>
          <w:sz w:val="20"/>
          <w:szCs w:val="20"/>
        </w:rPr>
        <w:t xml:space="preserve">, c/c </w:t>
      </w:r>
      <w:r>
        <w:fldChar w:fldCharType="begin"/>
      </w:r>
      <w:r>
        <w:rPr>
          <w:rStyle w:val="LinkdaInternet"/>
          <w:sz w:val="20"/>
          <w:szCs w:val="20"/>
        </w:rPr>
        <w:instrText> HYPERLINK "https://www.planalto.gov.br/ccivil_03/_ato2011-2014/2012/decreto/d7724.htm" \l "art7§3"</w:instrText>
      </w:r>
      <w:r>
        <w:rPr>
          <w:rStyle w:val="LinkdaInternet"/>
          <w:sz w:val="20"/>
          <w:szCs w:val="20"/>
        </w:rPr>
        <w:fldChar w:fldCharType="separate"/>
      </w:r>
      <w:r>
        <w:rPr>
          <w:rStyle w:val="LinkdaInternet"/>
          <w:sz w:val="20"/>
          <w:szCs w:val="20"/>
        </w:rPr>
        <w:t>art. 7º, §3º, inciso V, do Decreto n. 7.724, de 2012.</w:t>
      </w:r>
      <w:r>
        <w:rPr>
          <w:rStyle w:val="LinkdaInternet"/>
          <w:sz w:val="20"/>
          <w:szCs w:val="20"/>
        </w:rPr>
        <w:fldChar w:fldCharType="end"/>
      </w:r>
      <w:r>
        <w:rPr>
          <w:sz w:val="20"/>
          <w:szCs w:val="20"/>
        </w:rPr>
        <w:t xml:space="preserve"> </w:t>
      </w:r>
    </w:p>
    <w:p>
      <w:pPr>
        <w:pStyle w:val="Nivel01"/>
        <w:numPr>
          <w:ilvl w:val="0"/>
          <w:numId w:val="1"/>
        </w:numPr>
        <w:spacing w:lineRule="auto" w:line="240" w:before="0" w:after="0"/>
        <w:rPr>
          <w:rFonts w:ascii="Arial" w:hAnsi="Arial" w:cs="Arial"/>
          <w:b/>
          <w:b/>
          <w:bCs/>
          <w:color w:val="5B5B5F"/>
          <w:sz w:val="26"/>
          <w:szCs w:val="26"/>
        </w:rPr>
      </w:pPr>
      <w:r>
        <w:rPr>
          <w:sz w:val="20"/>
          <w:szCs w:val="20"/>
        </w:rPr>
        <w:t>CLÁUSULA DÉCIMA OITAVA– FORO (</w:t>
      </w:r>
      <w:r>
        <w:fldChar w:fldCharType="begin"/>
      </w:r>
      <w:r>
        <w:rPr>
          <w:rStyle w:val="LinkdaInternet"/>
          <w:sz w:val="20"/>
          <w:szCs w:val="20"/>
        </w:rPr>
        <w:instrText> HYPERLINK "http://www.planalto.gov.br/ccivil_03/_ato2019-2022/2021/lei/L14133.htm" \l "art92§1"</w:instrText>
      </w:r>
      <w:r>
        <w:rPr>
          <w:rStyle w:val="LinkdaInternet"/>
          <w:sz w:val="20"/>
          <w:szCs w:val="20"/>
        </w:rPr>
        <w:fldChar w:fldCharType="separate"/>
      </w:r>
      <w:r>
        <w:rPr>
          <w:rStyle w:val="LinkdaInternet"/>
          <w:sz w:val="20"/>
          <w:szCs w:val="20"/>
        </w:rPr>
        <w:t>art. 92, §1º</w:t>
      </w:r>
      <w:r>
        <w:rPr>
          <w:rStyle w:val="LinkdaInternet"/>
          <w:sz w:val="20"/>
          <w:szCs w:val="20"/>
        </w:rPr>
        <w:fldChar w:fldCharType="end"/>
      </w:r>
      <w:r>
        <w:rPr>
          <w:sz w:val="20"/>
          <w:szCs w:val="20"/>
        </w:rPr>
        <w:t>)</w:t>
      </w:r>
    </w:p>
    <w:p>
      <w:pPr>
        <w:pStyle w:val="Nivel2"/>
        <w:numPr>
          <w:ilvl w:val="1"/>
          <w:numId w:val="1"/>
        </w:numPr>
        <w:spacing w:lineRule="auto" w:line="240" w:before="0" w:after="0"/>
        <w:rPr>
          <w:rFonts w:ascii="Arial" w:hAnsi="Arial" w:cs="Arial"/>
          <w:b/>
          <w:b/>
          <w:bCs/>
          <w:color w:val="5B5B5F"/>
          <w:sz w:val="26"/>
          <w:szCs w:val="26"/>
        </w:rPr>
      </w:pPr>
      <w:r>
        <w:rPr>
          <w:sz w:val="20"/>
          <w:szCs w:val="20"/>
        </w:rPr>
        <w:t xml:space="preserve">Fica eleito o Foro da </w:t>
      </w:r>
      <w:r>
        <w:rPr>
          <w:rFonts w:eastAsia="ＭＳ 明朝" w:cs="Arial"/>
          <w:color w:val="000000"/>
          <w:kern w:val="0"/>
          <w:sz w:val="20"/>
          <w:szCs w:val="20"/>
          <w:lang w:val="pt-BR" w:eastAsia="pt-BR" w:bidi="ar-SA"/>
        </w:rPr>
        <w:t xml:space="preserve">camarca de Paraguaçu Paulista </w:t>
      </w:r>
      <w:r>
        <w:rPr>
          <w:sz w:val="20"/>
          <w:szCs w:val="20"/>
        </w:rPr>
        <w:t xml:space="preserve">para dirimir os litígios que decorrerem da execução deste Termo de Contrato que não puderem ser compostos pela conciliação, conforme </w:t>
      </w:r>
      <w:r>
        <w:fldChar w:fldCharType="begin"/>
      </w:r>
      <w:r>
        <w:rPr>
          <w:rStyle w:val="LinkdaInternet"/>
          <w:sz w:val="20"/>
          <w:szCs w:val="20"/>
        </w:rPr>
        <w:instrText> HYPERLINK "http://www.planalto.gov.br/ccivil_03/_ato2019-2022/2021/lei/L14133.htm" \l "art92§1"</w:instrText>
      </w:r>
      <w:r>
        <w:rPr>
          <w:rStyle w:val="LinkdaInternet"/>
          <w:sz w:val="20"/>
          <w:szCs w:val="20"/>
        </w:rPr>
        <w:fldChar w:fldCharType="separate"/>
      </w:r>
      <w:r>
        <w:rPr>
          <w:rStyle w:val="LinkdaInternet"/>
          <w:sz w:val="20"/>
          <w:szCs w:val="20"/>
        </w:rPr>
        <w:t>art. 92, §1º, da Lei nº 14.133/21.</w:t>
      </w:r>
      <w:r>
        <w:rPr>
          <w:rStyle w:val="LinkdaInternet"/>
          <w:sz w:val="20"/>
          <w:szCs w:val="20"/>
        </w:rPr>
        <w:fldChar w:fldCharType="end"/>
      </w:r>
    </w:p>
    <w:p>
      <w:pPr>
        <w:pStyle w:val="Normal"/>
        <w:spacing w:lineRule="auto" w:line="240" w:before="0" w:after="0"/>
        <w:ind w:left="0" w:right="0" w:hanging="0"/>
        <w:jc w:val="right"/>
        <w:rPr>
          <w:rFonts w:ascii="Arial" w:hAnsi="Arial" w:cs="Arial"/>
          <w:color w:val="000000"/>
          <w:sz w:val="20"/>
          <w:szCs w:val="20"/>
          <w:shd w:fill="FFFFFF" w:val="clear"/>
        </w:rPr>
      </w:pPr>
      <w:r>
        <w:rPr>
          <w:rFonts w:cs="Arial"/>
          <w:color w:val="000000"/>
          <w:sz w:val="20"/>
          <w:szCs w:val="20"/>
          <w:shd w:fill="FFFFFF" w:val="clear"/>
        </w:rPr>
        <w:t>Estância Turística de Paraguaçu Paulista, … de …... de 2024</w:t>
      </w:r>
    </w:p>
    <w:p>
      <w:pPr>
        <w:pStyle w:val="Standard"/>
        <w:spacing w:lineRule="auto" w:line="240" w:before="0" w:after="0"/>
        <w:ind w:left="0" w:right="0" w:hanging="0"/>
        <w:jc w:val="both"/>
        <w:rPr>
          <w:rFonts w:ascii="Arial" w:hAnsi="Arial" w:cs="Arial"/>
          <w:color w:val="000000"/>
          <w:sz w:val="20"/>
          <w:szCs w:val="20"/>
          <w:shd w:fill="FFFFFF" w:val="clear"/>
        </w:rPr>
      </w:pPr>
      <w:r>
        <w:rPr>
          <w:rFonts w:cs="Arial" w:ascii="Arial" w:hAnsi="Arial"/>
          <w:color w:val="000000"/>
          <w:sz w:val="20"/>
          <w:szCs w:val="20"/>
          <w:shd w:fill="FFFFFF" w:val="clear"/>
        </w:rPr>
      </w:r>
    </w:p>
    <w:p>
      <w:pPr>
        <w:pStyle w:val="Standard"/>
        <w:spacing w:lineRule="auto" w:line="240" w:before="0" w:after="0"/>
        <w:ind w:left="0" w:right="0" w:hanging="0"/>
        <w:jc w:val="both"/>
        <w:rPr>
          <w:rFonts w:ascii="Arial" w:hAnsi="Arial" w:cs="Arial"/>
          <w:color w:val="000000"/>
          <w:sz w:val="20"/>
          <w:szCs w:val="20"/>
          <w:shd w:fill="FFFFFF" w:val="clear"/>
        </w:rPr>
      </w:pPr>
      <w:r>
        <w:rPr>
          <w:rFonts w:cs="Arial" w:ascii="Arial" w:hAnsi="Arial"/>
          <w:color w:val="000000"/>
          <w:sz w:val="20"/>
          <w:szCs w:val="20"/>
          <w:shd w:fill="FFFFFF" w:val="clear"/>
        </w:rPr>
      </w:r>
    </w:p>
    <w:p>
      <w:pPr>
        <w:pStyle w:val="Standard"/>
        <w:spacing w:lineRule="auto" w:line="240" w:before="0" w:after="0"/>
        <w:ind w:left="0" w:right="0" w:hanging="0"/>
        <w:jc w:val="both"/>
        <w:rPr>
          <w:rFonts w:ascii="Arial" w:hAnsi="Arial" w:cs="Arial"/>
          <w:color w:val="000000"/>
          <w:sz w:val="20"/>
          <w:szCs w:val="20"/>
          <w:shd w:fill="FFFFFF" w:val="clear"/>
        </w:rPr>
      </w:pPr>
      <w:r>
        <w:rPr>
          <w:rFonts w:cs="Arial" w:ascii="Arial" w:hAnsi="Arial"/>
          <w:color w:val="000000"/>
          <w:sz w:val="20"/>
          <w:szCs w:val="20"/>
          <w:shd w:fill="FFFFFF" w:val="clear"/>
        </w:rPr>
      </w:r>
    </w:p>
    <w:p>
      <w:pPr>
        <w:pStyle w:val="Standard"/>
        <w:spacing w:lineRule="auto" w:line="240" w:before="0" w:after="0"/>
        <w:ind w:left="0" w:right="0" w:hanging="0"/>
        <w:rPr>
          <w:rFonts w:ascii="Arial" w:hAnsi="Arial"/>
          <w:sz w:val="20"/>
          <w:szCs w:val="20"/>
        </w:rPr>
      </w:pPr>
      <w:r>
        <w:rPr>
          <w:rFonts w:cs="Arial" w:ascii="Arial" w:hAnsi="Arial"/>
          <w:color w:val="000000"/>
          <w:sz w:val="20"/>
          <w:szCs w:val="20"/>
          <w:shd w:fill="FFFFFF" w:val="clear"/>
        </w:rPr>
        <w:t xml:space="preserve">Prefeitura Municipal de Paraguaçu Paulista – </w:t>
      </w:r>
      <w:r>
        <w:rPr>
          <w:rFonts w:cs="Arial" w:ascii="Arial" w:hAnsi="Arial"/>
          <w:b/>
          <w:color w:val="000000"/>
          <w:sz w:val="20"/>
          <w:szCs w:val="20"/>
          <w:shd w:fill="FFFFFF" w:val="clear"/>
        </w:rPr>
        <w:t>CONTRATANTE</w:t>
      </w:r>
    </w:p>
    <w:p>
      <w:pPr>
        <w:pStyle w:val="Normal"/>
        <w:widowControl w:val="false"/>
        <w:spacing w:lineRule="auto" w:line="240" w:before="0" w:after="0"/>
        <w:ind w:left="0" w:right="0" w:hanging="0"/>
        <w:jc w:val="left"/>
        <w:rPr>
          <w:rFonts w:ascii="Arial" w:hAnsi="Arial" w:cs="Arial"/>
          <w:b/>
          <w:b/>
          <w:color w:val="000000"/>
          <w:sz w:val="20"/>
          <w:szCs w:val="20"/>
          <w:shd w:fill="FFFFFF" w:val="clear"/>
          <w:lang w:val="pt-BR"/>
        </w:rPr>
      </w:pPr>
      <w:r>
        <w:rPr>
          <w:rFonts w:cs="Arial"/>
          <w:b/>
          <w:color w:val="000000"/>
          <w:sz w:val="20"/>
          <w:szCs w:val="20"/>
          <w:shd w:fill="FFFFFF" w:val="clear"/>
          <w:lang w:val="pt-BR"/>
        </w:rPr>
        <w:t>Antônio Takashi Sasada</w:t>
      </w:r>
    </w:p>
    <w:p>
      <w:pPr>
        <w:pStyle w:val="Normal"/>
        <w:widowControl w:val="false"/>
        <w:spacing w:lineRule="auto" w:line="240" w:before="0" w:after="0"/>
        <w:ind w:left="0" w:right="0" w:hanging="0"/>
        <w:jc w:val="left"/>
        <w:rPr>
          <w:rFonts w:ascii="Arial" w:hAnsi="Arial"/>
          <w:b w:val="false"/>
          <w:b w:val="false"/>
          <w:bCs w:val="false"/>
          <w:sz w:val="20"/>
          <w:szCs w:val="20"/>
          <w:lang w:val="pt-BR"/>
        </w:rPr>
      </w:pPr>
      <w:r>
        <w:rPr>
          <w:b w:val="false"/>
          <w:bCs w:val="false"/>
          <w:sz w:val="20"/>
          <w:szCs w:val="20"/>
          <w:lang w:val="pt-BR"/>
        </w:rPr>
        <w:t>Prefeito Municipal</w:t>
      </w:r>
    </w:p>
    <w:p>
      <w:pPr>
        <w:pStyle w:val="Standard"/>
        <w:tabs>
          <w:tab w:val="clear" w:pos="708"/>
          <w:tab w:val="left" w:pos="426" w:leader="none"/>
          <w:tab w:val="left" w:pos="709" w:leader="none"/>
          <w:tab w:val="left" w:pos="1560" w:leader="none"/>
        </w:tabs>
        <w:spacing w:lineRule="auto" w:line="240" w:before="0" w:after="0"/>
        <w:ind w:left="0" w:right="0" w:hanging="0"/>
        <w:jc w:val="both"/>
        <w:rPr>
          <w:rFonts w:ascii="Arial" w:hAnsi="Arial" w:cs="Arial"/>
          <w:color w:val="000000"/>
          <w:sz w:val="20"/>
          <w:szCs w:val="20"/>
          <w:shd w:fill="FFFFFF" w:val="clear"/>
        </w:rPr>
      </w:pPr>
      <w:r>
        <w:rPr>
          <w:rFonts w:cs="Arial" w:ascii="Arial" w:hAnsi="Arial"/>
          <w:color w:val="000000"/>
          <w:sz w:val="20"/>
          <w:szCs w:val="20"/>
          <w:shd w:fill="FFFFFF" w:val="clear"/>
        </w:rPr>
      </w:r>
    </w:p>
    <w:p>
      <w:pPr>
        <w:pStyle w:val="Normal"/>
        <w:spacing w:lineRule="auto" w:line="240" w:before="0" w:after="0"/>
        <w:ind w:left="0" w:right="0" w:hanging="0"/>
        <w:rPr>
          <w:rFonts w:ascii="Arial" w:hAnsi="Arial" w:cs="Arial"/>
          <w:color w:val="000000"/>
          <w:sz w:val="20"/>
          <w:szCs w:val="20"/>
          <w:shd w:fill="FFFFFF" w:val="clear"/>
        </w:rPr>
      </w:pPr>
      <w:r>
        <w:rPr>
          <w:rFonts w:cs="Arial"/>
          <w:color w:val="000000"/>
          <w:sz w:val="20"/>
          <w:szCs w:val="20"/>
          <w:shd w:fill="FFFFFF" w:val="clear"/>
        </w:rPr>
      </w:r>
    </w:p>
    <w:p>
      <w:pPr>
        <w:pStyle w:val="Normal"/>
        <w:spacing w:lineRule="auto" w:line="240" w:before="0" w:after="0"/>
        <w:ind w:left="0" w:right="0" w:hanging="0"/>
        <w:rPr>
          <w:rFonts w:ascii="Arial" w:hAnsi="Arial" w:cs="Arial"/>
          <w:color w:val="000000"/>
          <w:sz w:val="20"/>
          <w:szCs w:val="20"/>
          <w:shd w:fill="FFFFFF" w:val="clear"/>
        </w:rPr>
      </w:pPr>
      <w:r>
        <w:rPr>
          <w:rFonts w:cs="Arial"/>
          <w:color w:val="000000"/>
          <w:sz w:val="20"/>
          <w:szCs w:val="20"/>
          <w:shd w:fill="FFFFFF" w:val="clear"/>
        </w:rPr>
      </w:r>
    </w:p>
    <w:p>
      <w:pPr>
        <w:pStyle w:val="Normal"/>
        <w:spacing w:lineRule="auto" w:line="240" w:before="0" w:after="0"/>
        <w:ind w:left="0" w:right="0" w:hanging="0"/>
        <w:rPr>
          <w:rFonts w:ascii="Arial" w:hAnsi="Arial" w:cs="Arial"/>
          <w:color w:val="000000"/>
          <w:sz w:val="20"/>
          <w:szCs w:val="20"/>
          <w:shd w:fill="FFFFFF" w:val="clear"/>
        </w:rPr>
      </w:pPr>
      <w:r>
        <w:rPr>
          <w:rFonts w:cs="Arial"/>
          <w:color w:val="000000"/>
          <w:sz w:val="20"/>
          <w:szCs w:val="20"/>
          <w:shd w:fill="FFFFFF" w:val="clear"/>
        </w:rPr>
      </w:r>
    </w:p>
    <w:p>
      <w:pPr>
        <w:pStyle w:val="Normal"/>
        <w:spacing w:lineRule="auto" w:line="240" w:before="0" w:after="0"/>
        <w:ind w:left="0" w:right="0" w:hanging="0"/>
        <w:rPr>
          <w:rFonts w:ascii="Arial" w:hAnsi="Arial" w:cs="Arial"/>
          <w:color w:val="000000"/>
          <w:sz w:val="20"/>
          <w:szCs w:val="20"/>
          <w:shd w:fill="FFFFFF" w:val="clear"/>
        </w:rPr>
      </w:pPr>
      <w:r>
        <w:rPr>
          <w:rFonts w:cs="Arial"/>
          <w:color w:val="000000"/>
          <w:sz w:val="20"/>
          <w:szCs w:val="20"/>
          <w:shd w:fill="FFFFFF" w:val="clear"/>
        </w:rPr>
      </w:r>
    </w:p>
    <w:p>
      <w:pPr>
        <w:pStyle w:val="Standard"/>
        <w:spacing w:lineRule="auto" w:line="240" w:before="0" w:after="0"/>
        <w:ind w:left="0" w:right="0" w:hanging="0"/>
        <w:rPr>
          <w:rFonts w:ascii="Arial" w:hAnsi="Arial"/>
          <w:sz w:val="20"/>
          <w:szCs w:val="20"/>
        </w:rPr>
      </w:pPr>
      <w:r>
        <w:rPr>
          <w:rFonts w:cs="Arial" w:ascii="Arial" w:hAnsi="Arial"/>
          <w:color w:val="000000"/>
          <w:sz w:val="20"/>
          <w:szCs w:val="20"/>
          <w:shd w:fill="FFFFFF" w:val="clear"/>
        </w:rPr>
        <w:t>………………………</w:t>
      </w:r>
      <w:r>
        <w:rPr>
          <w:rFonts w:cs="Arial" w:ascii="Arial" w:hAnsi="Arial"/>
          <w:color w:val="000000"/>
          <w:sz w:val="20"/>
          <w:szCs w:val="20"/>
          <w:shd w:fill="FFFFFF" w:val="clear"/>
        </w:rPr>
        <w:t xml:space="preserve">..– </w:t>
      </w:r>
      <w:r>
        <w:rPr>
          <w:rFonts w:cs="Arial" w:ascii="Arial" w:hAnsi="Arial"/>
          <w:b/>
          <w:bCs/>
          <w:color w:val="000000"/>
          <w:sz w:val="20"/>
          <w:szCs w:val="20"/>
          <w:shd w:fill="FFFFFF" w:val="clear"/>
        </w:rPr>
        <w:t>CONTRATADA</w:t>
      </w:r>
    </w:p>
    <w:p>
      <w:pPr>
        <w:pStyle w:val="Standard"/>
        <w:tabs>
          <w:tab w:val="clear" w:pos="708"/>
          <w:tab w:val="left" w:pos="426" w:leader="none"/>
          <w:tab w:val="left" w:pos="709" w:leader="none"/>
          <w:tab w:val="left" w:pos="1560" w:leader="none"/>
        </w:tabs>
        <w:spacing w:lineRule="auto" w:line="240" w:before="0" w:after="0"/>
        <w:ind w:left="0" w:right="0" w:hanging="0"/>
        <w:jc w:val="both"/>
        <w:rPr>
          <w:rFonts w:ascii="Arial" w:hAnsi="Arial" w:cs="Arial"/>
          <w:b/>
          <w:b/>
          <w:bCs/>
          <w:color w:val="000000"/>
          <w:sz w:val="20"/>
          <w:szCs w:val="20"/>
          <w:shd w:fill="FFFFFF" w:val="clear"/>
        </w:rPr>
      </w:pPr>
      <w:r>
        <w:rPr>
          <w:rFonts w:cs="Arial" w:ascii="Arial" w:hAnsi="Arial"/>
          <w:b/>
          <w:bCs/>
          <w:color w:val="000000"/>
          <w:sz w:val="20"/>
          <w:szCs w:val="20"/>
          <w:shd w:fill="FFFFFF" w:val="clear"/>
        </w:rPr>
        <w:t>………</w:t>
      </w:r>
      <w:r>
        <w:rPr>
          <w:rFonts w:cs="Arial" w:ascii="Arial" w:hAnsi="Arial"/>
          <w:b/>
          <w:bCs/>
          <w:color w:val="000000"/>
          <w:sz w:val="20"/>
          <w:szCs w:val="20"/>
          <w:shd w:fill="FFFFFF" w:val="clear"/>
        </w:rPr>
        <w:t>...</w:t>
      </w:r>
    </w:p>
    <w:p>
      <w:pPr>
        <w:pStyle w:val="Standard"/>
        <w:spacing w:lineRule="auto" w:line="240" w:before="0" w:after="0"/>
        <w:ind w:left="0" w:right="0" w:hanging="0"/>
        <w:rPr>
          <w:rFonts w:ascii="Arial" w:hAnsi="Arial" w:cs="Arial"/>
          <w:color w:val="000000"/>
          <w:sz w:val="20"/>
          <w:szCs w:val="20"/>
          <w:shd w:fill="FFFFFF" w:val="clear"/>
        </w:rPr>
      </w:pPr>
      <w:r>
        <w:rPr>
          <w:rFonts w:cs="Arial" w:ascii="Arial" w:hAnsi="Arial"/>
          <w:color w:val="000000"/>
          <w:sz w:val="20"/>
          <w:szCs w:val="20"/>
          <w:shd w:fill="FFFFFF" w:val="clear"/>
        </w:rPr>
        <w:t>………</w:t>
      </w:r>
      <w:r>
        <w:rPr>
          <w:rFonts w:cs="Arial" w:ascii="Arial" w:hAnsi="Arial"/>
          <w:color w:val="000000"/>
          <w:sz w:val="20"/>
          <w:szCs w:val="20"/>
          <w:shd w:fill="FFFFFF" w:val="clear"/>
        </w:rPr>
        <w:t>..</w:t>
      </w:r>
    </w:p>
    <w:p>
      <w:pPr>
        <w:pStyle w:val="Normal"/>
        <w:spacing w:lineRule="auto" w:line="240" w:before="0" w:after="0"/>
        <w:ind w:left="0" w:right="0" w:hanging="0"/>
        <w:jc w:val="both"/>
        <w:rPr>
          <w:rFonts w:ascii="Arial" w:hAnsi="Arial" w:eastAsia="Arial"/>
          <w:sz w:val="20"/>
          <w:szCs w:val="20"/>
        </w:rPr>
      </w:pPr>
      <w:r>
        <w:rPr>
          <w:rFonts w:eastAsia="Arial"/>
          <w:sz w:val="20"/>
          <w:szCs w:val="20"/>
        </w:rPr>
      </w:r>
    </w:p>
    <w:p>
      <w:pPr>
        <w:pStyle w:val="Standard"/>
        <w:spacing w:lineRule="auto" w:line="240" w:before="0" w:after="0"/>
        <w:ind w:left="0" w:right="0" w:hanging="0"/>
        <w:jc w:val="both"/>
        <w:rPr>
          <w:rFonts w:ascii="Arial" w:hAnsi="Arial" w:cs="Arial"/>
          <w:color w:val="000000"/>
          <w:sz w:val="20"/>
          <w:szCs w:val="20"/>
          <w:shd w:fill="FFFFFF" w:val="clear"/>
        </w:rPr>
      </w:pPr>
      <w:r>
        <w:rPr>
          <w:rFonts w:cs="Arial" w:ascii="Arial" w:hAnsi="Arial"/>
          <w:color w:val="000000"/>
          <w:sz w:val="20"/>
          <w:szCs w:val="20"/>
          <w:shd w:fill="FFFFFF" w:val="clear"/>
        </w:rPr>
        <w:t>TESTEMUNHAS:</w:t>
      </w:r>
    </w:p>
    <w:p>
      <w:pPr>
        <w:pStyle w:val="Corpodetexto33"/>
        <w:spacing w:lineRule="auto" w:line="240" w:before="0" w:after="0"/>
        <w:ind w:left="0" w:right="0" w:hanging="0"/>
        <w:rPr>
          <w:rFonts w:ascii="Arial" w:hAnsi="Arial" w:cs="Arial"/>
          <w:color w:val="000000"/>
          <w:sz w:val="20"/>
          <w:szCs w:val="20"/>
          <w:shd w:fill="FFFFFF" w:val="clear"/>
        </w:rPr>
      </w:pPr>
      <w:r>
        <w:rPr>
          <w:rFonts w:cs="Arial"/>
          <w:color w:val="000000"/>
          <w:sz w:val="20"/>
          <w:szCs w:val="20"/>
          <w:shd w:fill="FFFFFF" w:val="clear"/>
        </w:rPr>
      </w:r>
    </w:p>
    <w:p>
      <w:pPr>
        <w:pStyle w:val="Corpodetexto33"/>
        <w:spacing w:lineRule="auto" w:line="240" w:before="0" w:after="0"/>
        <w:ind w:left="0" w:right="0" w:hanging="0"/>
        <w:rPr>
          <w:rFonts w:ascii="Arial" w:hAnsi="Arial" w:cs="Arial"/>
          <w:color w:val="000000"/>
          <w:sz w:val="20"/>
          <w:szCs w:val="20"/>
          <w:shd w:fill="FFFFFF" w:val="clear"/>
        </w:rPr>
      </w:pPr>
      <w:r>
        <w:rPr>
          <w:rFonts w:cs="Arial"/>
          <w:color w:val="000000"/>
          <w:sz w:val="20"/>
          <w:szCs w:val="20"/>
          <w:shd w:fill="FFFFFF" w:val="clear"/>
        </w:rPr>
        <w:t>A) ...............................................</w:t>
        <w:tab/>
        <w:tab/>
        <w:t>B) ...............................................</w:t>
      </w:r>
    </w:p>
    <w:p>
      <w:pPr>
        <w:pStyle w:val="Corpodetexto33"/>
        <w:spacing w:lineRule="auto" w:line="240" w:before="0" w:after="0"/>
        <w:ind w:left="0" w:right="0" w:hanging="0"/>
        <w:rPr>
          <w:rFonts w:ascii="Arial" w:hAnsi="Arial" w:cs="Arial"/>
          <w:color w:val="000000"/>
          <w:sz w:val="20"/>
          <w:szCs w:val="20"/>
          <w:shd w:fill="FFFFFF" w:val="clear"/>
        </w:rPr>
      </w:pPr>
      <w:r>
        <w:rPr>
          <w:rFonts w:cs="Arial"/>
          <w:color w:val="000000"/>
          <w:sz w:val="20"/>
          <w:szCs w:val="20"/>
          <w:shd w:fill="FFFFFF" w:val="clear"/>
        </w:rPr>
      </w:r>
      <w:r>
        <w:br w:type="page"/>
      </w:r>
    </w:p>
    <w:p>
      <w:pPr>
        <w:pStyle w:val="Corpodetexto33"/>
        <w:spacing w:lineRule="auto" w:line="240" w:before="0" w:after="0"/>
        <w:ind w:left="0" w:right="0" w:hanging="0"/>
        <w:rPr>
          <w:rFonts w:ascii="Arial" w:hAnsi="Arial" w:cs="Arial"/>
          <w:color w:val="000000"/>
          <w:sz w:val="19"/>
          <w:szCs w:val="19"/>
          <w:shd w:fill="FFFFFF" w:val="clear"/>
        </w:rPr>
      </w:pPr>
      <w:r>
        <w:rPr>
          <w:rFonts w:cs="Arial"/>
          <w:color w:val="000000"/>
          <w:sz w:val="19"/>
          <w:szCs w:val="19"/>
          <w:shd w:fill="FFFFFF" w:val="clear"/>
        </w:rPr>
      </w:r>
    </w:p>
    <w:p>
      <w:pPr>
        <w:pStyle w:val="Normal"/>
        <w:widowControl w:val="false"/>
        <w:spacing w:lineRule="auto" w:line="240" w:before="0" w:after="0"/>
        <w:ind w:left="0" w:right="0" w:hanging="0"/>
        <w:jc w:val="center"/>
        <w:rPr>
          <w:rFonts w:ascii="Arial" w:hAnsi="Arial" w:eastAsia="Arial" w:cs="Arial"/>
          <w:b/>
          <w:b/>
          <w:color w:val="000000"/>
          <w:sz w:val="19"/>
          <w:szCs w:val="19"/>
          <w:shd w:fill="FFFFFF" w:val="clear"/>
          <w:lang w:val="pt-BR" w:eastAsia="en-US" w:bidi="ar-SA"/>
        </w:rPr>
      </w:pPr>
      <w:r>
        <w:rPr>
          <w:rFonts w:eastAsia="Arial" w:cs="Arial"/>
          <w:b/>
          <w:color w:val="000000"/>
          <w:sz w:val="19"/>
          <w:szCs w:val="19"/>
          <w:shd w:fill="FFFFFF" w:val="clear"/>
          <w:lang w:val="pt-BR" w:eastAsia="en-US" w:bidi="ar-SA"/>
        </w:rPr>
        <w:t>TERMO DE CIÊNCIA E DE NOTIFICAÇÃO</w:t>
      </w:r>
    </w:p>
    <w:p>
      <w:pPr>
        <w:pStyle w:val="Normal"/>
        <w:widowControl w:val="false"/>
        <w:spacing w:lineRule="auto" w:line="240" w:before="0" w:after="0"/>
        <w:ind w:left="0" w:right="0" w:hanging="0"/>
        <w:jc w:val="center"/>
        <w:rPr>
          <w:rFonts w:ascii="Arial" w:hAnsi="Arial" w:eastAsia="Arial" w:cs="Arial"/>
          <w:b/>
          <w:b/>
          <w:color w:val="000000"/>
          <w:sz w:val="19"/>
          <w:szCs w:val="19"/>
          <w:shd w:fill="FFFFFF" w:val="clear"/>
          <w:lang w:val="pt-BR" w:eastAsia="en-US" w:bidi="ar-SA"/>
        </w:rPr>
      </w:pPr>
      <w:r>
        <w:rPr>
          <w:rFonts w:eastAsia="Arial" w:cs="Arial"/>
          <w:b/>
          <w:color w:val="000000"/>
          <w:sz w:val="19"/>
          <w:szCs w:val="19"/>
          <w:shd w:fill="FFFFFF" w:val="clear"/>
          <w:lang w:val="pt-BR" w:eastAsia="en-US" w:bidi="ar-SA"/>
        </w:rPr>
        <w:t>(CONTRATOS)</w:t>
      </w:r>
    </w:p>
    <w:p>
      <w:pPr>
        <w:pStyle w:val="Normal"/>
        <w:widowControl w:val="false"/>
        <w:spacing w:lineRule="auto" w:line="240" w:before="0" w:after="0"/>
        <w:ind w:left="0" w:right="0" w:hanging="0"/>
        <w:rPr>
          <w:rFonts w:ascii="Arial" w:hAnsi="Arial" w:eastAsia="Arial" w:cs="Arial"/>
          <w:b/>
          <w:b/>
          <w:i/>
          <w:i/>
          <w:color w:val="000000"/>
          <w:sz w:val="19"/>
          <w:szCs w:val="19"/>
          <w:shd w:fill="FFFFFF" w:val="clear"/>
          <w:lang w:val="pt-BR" w:eastAsia="en-US" w:bidi="ar-SA"/>
        </w:rPr>
      </w:pPr>
      <w:r>
        <w:rPr>
          <w:rFonts w:eastAsia="Arial" w:cs="Arial"/>
          <w:b/>
          <w:i/>
          <w:color w:val="000000"/>
          <w:sz w:val="19"/>
          <w:szCs w:val="19"/>
          <w:shd w:fill="FFFFFF" w:val="clear"/>
          <w:lang w:val="pt-BR" w:eastAsia="en-US" w:bidi="ar-SA"/>
        </w:rPr>
      </w:r>
    </w:p>
    <w:p>
      <w:pPr>
        <w:pStyle w:val="Normal"/>
        <w:widowControl w:val="false"/>
        <w:tabs>
          <w:tab w:val="clear" w:pos="708"/>
          <w:tab w:val="left" w:pos="8240" w:leader="none"/>
          <w:tab w:val="left" w:pos="8295" w:leader="none"/>
          <w:tab w:val="left" w:pos="8384" w:leader="none"/>
        </w:tabs>
        <w:spacing w:lineRule="auto" w:line="240" w:before="0" w:after="0"/>
        <w:ind w:left="0" w:right="0" w:hanging="0"/>
        <w:jc w:val="both"/>
        <w:rPr>
          <w:rFonts w:ascii="Arial" w:hAnsi="Arial" w:eastAsia="Arial" w:cs="Arial"/>
          <w:color w:val="000000"/>
          <w:sz w:val="19"/>
          <w:szCs w:val="19"/>
          <w:u w:val="none"/>
          <w:shd w:fill="FFFFFF" w:val="clear"/>
          <w:lang w:val="pt-BR" w:eastAsia="en-US" w:bidi="ar-SA"/>
        </w:rPr>
      </w:pPr>
      <w:r>
        <w:rPr>
          <w:rFonts w:eastAsia="Arial" w:cs="Arial"/>
          <w:color w:val="000000"/>
          <w:sz w:val="19"/>
          <w:szCs w:val="19"/>
          <w:u w:val="none"/>
          <w:shd w:fill="FFFFFF" w:val="clear"/>
          <w:lang w:val="pt-BR" w:eastAsia="en-US" w:bidi="ar-SA"/>
        </w:rPr>
        <w:t>CONTRATANTE: Prefeitura Municipal de Paraguaçu Paulista</w:t>
        <w:tab/>
        <w:tab/>
        <w:t xml:space="preserve"> CONTRATADO:</w:t>
        <w:tab/>
        <w:tab/>
        <w:t xml:space="preserve"> </w:t>
      </w:r>
    </w:p>
    <w:p>
      <w:pPr>
        <w:pStyle w:val="Normal"/>
        <w:widowControl w:val="false"/>
        <w:tabs>
          <w:tab w:val="clear" w:pos="708"/>
          <w:tab w:val="left" w:pos="8240" w:leader="none"/>
          <w:tab w:val="left" w:pos="8295" w:leader="none"/>
          <w:tab w:val="left" w:pos="8384" w:leader="none"/>
        </w:tabs>
        <w:spacing w:lineRule="auto" w:line="240" w:before="0" w:after="0"/>
        <w:ind w:left="0" w:right="0" w:hanging="0"/>
        <w:jc w:val="both"/>
        <w:rPr>
          <w:rFonts w:ascii="Arial" w:hAnsi="Arial" w:cs="Arial"/>
          <w:b/>
          <w:b/>
          <w:bCs/>
          <w:color w:val="5B5B5F"/>
          <w:sz w:val="26"/>
          <w:szCs w:val="26"/>
        </w:rPr>
      </w:pPr>
      <w:r>
        <w:rPr>
          <w:rFonts w:eastAsia="Arial" w:cs="Arial"/>
          <w:color w:val="000000"/>
          <w:sz w:val="19"/>
          <w:szCs w:val="19"/>
          <w:u w:val="none"/>
          <w:shd w:fill="FFFFFF" w:val="clear"/>
          <w:lang w:val="pt-BR" w:eastAsia="en-US" w:bidi="ar-SA"/>
        </w:rPr>
        <w:t>CONTRATO Nº</w:t>
      </w:r>
      <w:r>
        <w:rPr>
          <w:rFonts w:eastAsia="Arial" w:cs="Arial"/>
          <w:color w:val="000000"/>
          <w:spacing w:val="-7"/>
          <w:sz w:val="19"/>
          <w:szCs w:val="19"/>
          <w:u w:val="none"/>
          <w:shd w:fill="FFFFFF" w:val="clear"/>
          <w:lang w:val="pt-BR" w:eastAsia="en-US" w:bidi="ar-SA"/>
        </w:rPr>
        <w:t xml:space="preserve"> </w:t>
      </w:r>
      <w:r>
        <w:rPr>
          <w:rFonts w:eastAsia="Arial" w:cs="Arial"/>
          <w:color w:val="000000"/>
          <w:sz w:val="19"/>
          <w:szCs w:val="19"/>
          <w:u w:val="none"/>
          <w:shd w:fill="FFFFFF" w:val="clear"/>
          <w:lang w:val="pt-BR" w:eastAsia="en-US" w:bidi="ar-SA"/>
        </w:rPr>
        <w:tab/>
        <w:t xml:space="preserve"> </w:t>
      </w:r>
    </w:p>
    <w:p>
      <w:pPr>
        <w:pStyle w:val="Normal"/>
        <w:widowControl w:val="false"/>
        <w:tabs>
          <w:tab w:val="clear" w:pos="708"/>
          <w:tab w:val="left" w:pos="8240" w:leader="none"/>
          <w:tab w:val="left" w:pos="8295" w:leader="none"/>
          <w:tab w:val="left" w:pos="8384" w:leader="none"/>
        </w:tabs>
        <w:spacing w:lineRule="auto" w:line="240" w:before="0" w:after="0"/>
        <w:ind w:left="0" w:right="0" w:hanging="0"/>
        <w:jc w:val="both"/>
        <w:rPr>
          <w:rFonts w:ascii="Arial" w:hAnsi="Arial" w:cs="Arial"/>
          <w:b/>
          <w:b/>
          <w:bCs/>
          <w:color w:val="5B5B5F"/>
          <w:sz w:val="26"/>
          <w:szCs w:val="26"/>
        </w:rPr>
      </w:pPr>
      <w:r>
        <w:rPr>
          <w:rFonts w:eastAsia="Arial" w:cs="Arial"/>
          <w:color w:val="000000"/>
          <w:sz w:val="19"/>
          <w:szCs w:val="19"/>
          <w:u w:val="none"/>
          <w:shd w:fill="FFFFFF" w:val="clear"/>
          <w:lang w:val="pt-BR" w:eastAsia="en-US" w:bidi="ar-SA"/>
        </w:rPr>
        <w:t>OBJETO:</w:t>
      </w:r>
      <w:r>
        <w:rPr>
          <w:rFonts w:eastAsia="Arial" w:cs="Arial"/>
          <w:color w:val="000000"/>
          <w:spacing w:val="2"/>
          <w:sz w:val="19"/>
          <w:szCs w:val="19"/>
          <w:u w:val="none"/>
          <w:shd w:fill="FFFFFF" w:val="clear"/>
          <w:lang w:val="pt-BR" w:eastAsia="en-US" w:bidi="ar-SA"/>
        </w:rPr>
        <w:t xml:space="preserve"> </w:t>
      </w:r>
      <w:r>
        <w:rPr>
          <w:rFonts w:eastAsia="Arial" w:cs="Arial"/>
          <w:color w:val="000000"/>
          <w:sz w:val="19"/>
          <w:szCs w:val="19"/>
          <w:u w:val="none"/>
          <w:shd w:fill="FFFFFF" w:val="clear"/>
          <w:lang w:val="pt-BR" w:eastAsia="en-US" w:bidi="ar-SA"/>
        </w:rPr>
        <w:tab/>
        <w:tab/>
        <w:tab/>
      </w:r>
    </w:p>
    <w:p>
      <w:pPr>
        <w:pStyle w:val="Normal"/>
        <w:widowControl w:val="false"/>
        <w:spacing w:lineRule="auto" w:line="240" w:before="0" w:after="0"/>
        <w:ind w:left="0" w:right="0" w:hanging="0"/>
        <w:rPr>
          <w:rFonts w:ascii="Arial" w:hAnsi="Arial" w:eastAsia="Arial" w:cs="Arial"/>
          <w:color w:val="000000"/>
          <w:sz w:val="19"/>
          <w:szCs w:val="19"/>
          <w:shd w:fill="FFFFFF" w:val="clear"/>
          <w:lang w:val="pt-BR" w:eastAsia="en-US" w:bidi="ar-SA"/>
        </w:rPr>
      </w:pPr>
      <w:r>
        <w:rPr>
          <w:rFonts w:eastAsia="Arial" w:cs="Arial"/>
          <w:color w:val="000000"/>
          <w:sz w:val="19"/>
          <w:szCs w:val="19"/>
          <w:shd w:fill="FFFFFF" w:val="clear"/>
          <w:lang w:val="pt-BR" w:eastAsia="en-US" w:bidi="ar-SA"/>
        </w:rPr>
      </w:r>
    </w:p>
    <w:p>
      <w:pPr>
        <w:pStyle w:val="Normal"/>
        <w:widowControl w:val="false"/>
        <w:spacing w:lineRule="auto" w:line="240" w:before="0" w:after="0"/>
        <w:ind w:left="0" w:right="0" w:hanging="0"/>
        <w:jc w:val="both"/>
        <w:rPr>
          <w:rFonts w:ascii="Arial" w:hAnsi="Arial" w:eastAsia="Arial" w:cs="Arial"/>
          <w:color w:val="000000"/>
          <w:sz w:val="19"/>
          <w:szCs w:val="19"/>
          <w:shd w:fill="FFFFFF" w:val="clear"/>
          <w:lang w:val="pt-BR" w:eastAsia="en-US" w:bidi="ar-SA"/>
        </w:rPr>
      </w:pPr>
      <w:r>
        <w:rPr>
          <w:rFonts w:eastAsia="Arial" w:cs="Arial"/>
          <w:color w:val="000000"/>
          <w:sz w:val="19"/>
          <w:szCs w:val="19"/>
          <w:shd w:fill="FFFFFF" w:val="clear"/>
          <w:lang w:val="pt-BR" w:eastAsia="en-US" w:bidi="ar-SA"/>
        </w:rPr>
        <w:t>Pelo presente TERMO, nós, abaixo identificados:</w:t>
      </w:r>
    </w:p>
    <w:p>
      <w:pPr>
        <w:pStyle w:val="Corpodotexto"/>
        <w:spacing w:lineRule="auto" w:line="240" w:before="0" w:after="0"/>
        <w:ind w:left="0" w:right="0" w:hanging="0"/>
        <w:rPr>
          <w:rFonts w:ascii="Arial" w:hAnsi="Arial" w:cs="Arial"/>
          <w:b/>
          <w:b/>
          <w:bCs/>
          <w:color w:val="5B5B5F"/>
          <w:sz w:val="26"/>
          <w:szCs w:val="26"/>
        </w:rPr>
      </w:pPr>
      <w:r>
        <w:rPr>
          <w:rFonts w:eastAsia="Arial" w:cs="Arial" w:ascii="Arial" w:hAnsi="Arial"/>
          <w:b/>
          <w:bCs/>
          <w:color w:val="000000"/>
          <w:sz w:val="19"/>
          <w:szCs w:val="19"/>
          <w:shd w:fill="FFFFFF" w:val="clear"/>
          <w:lang w:val="pt-BR" w:eastAsia="en-US" w:bidi="ar-SA"/>
        </w:rPr>
        <w:t>1. Estamos CIENTES de</w:t>
      </w:r>
      <w:r>
        <w:rPr>
          <w:rFonts w:eastAsia="Arial" w:cs="Arial" w:ascii="Arial" w:hAnsi="Arial"/>
          <w:b/>
          <w:bCs/>
          <w:color w:val="000000"/>
          <w:spacing w:val="-5"/>
          <w:sz w:val="19"/>
          <w:szCs w:val="19"/>
          <w:shd w:fill="FFFFFF" w:val="clear"/>
          <w:lang w:val="pt-BR" w:eastAsia="en-US" w:bidi="ar-SA"/>
        </w:rPr>
        <w:t xml:space="preserve"> </w:t>
      </w:r>
      <w:r>
        <w:rPr>
          <w:rFonts w:eastAsia="Arial" w:cs="Arial" w:ascii="Arial" w:hAnsi="Arial"/>
          <w:b/>
          <w:bCs/>
          <w:color w:val="000000"/>
          <w:sz w:val="19"/>
          <w:szCs w:val="19"/>
          <w:shd w:fill="FFFFFF" w:val="clear"/>
          <w:lang w:val="pt-BR" w:eastAsia="en-US" w:bidi="ar-SA"/>
        </w:rPr>
        <w:t>que:</w:t>
      </w:r>
    </w:p>
    <w:p>
      <w:pPr>
        <w:pStyle w:val="Normal"/>
        <w:widowControl w:val="false"/>
        <w:tabs>
          <w:tab w:val="clear" w:pos="708"/>
          <w:tab w:val="left" w:pos="810" w:leader="none"/>
        </w:tabs>
        <w:spacing w:lineRule="auto" w:line="240" w:before="0" w:after="0"/>
        <w:ind w:left="0" w:right="0" w:hanging="0"/>
        <w:jc w:val="both"/>
        <w:rPr>
          <w:rFonts w:ascii="Arial" w:hAnsi="Arial" w:cs="Arial"/>
          <w:b/>
          <w:b/>
          <w:bCs/>
          <w:color w:val="5B5B5F"/>
          <w:sz w:val="26"/>
          <w:szCs w:val="26"/>
        </w:rPr>
      </w:pPr>
      <w:r>
        <w:rPr>
          <w:rFonts w:eastAsia="Arial" w:cs="Arial"/>
          <w:color w:val="000000"/>
          <w:sz w:val="19"/>
          <w:szCs w:val="19"/>
          <w:shd w:fill="FFFFFF" w:val="clear"/>
          <w:lang w:val="pt-BR" w:eastAsia="en-US" w:bidi="ar-SA"/>
        </w:rPr>
        <w:t>a) o ajuste acima referido, seus aditamentos, bem como o acompanhamento de sua execução contratual, estarão sujeitos a análise e julgamento pelo Tribunal de Contas do Estado de São Paulo, cujo trâmite processual ocorrerá pelo sistema</w:t>
      </w:r>
      <w:r>
        <w:rPr>
          <w:rFonts w:eastAsia="Arial" w:cs="Arial"/>
          <w:color w:val="000000"/>
          <w:spacing w:val="-14"/>
          <w:sz w:val="19"/>
          <w:szCs w:val="19"/>
          <w:shd w:fill="FFFFFF" w:val="clear"/>
          <w:lang w:val="pt-BR" w:eastAsia="en-US" w:bidi="ar-SA"/>
        </w:rPr>
        <w:t xml:space="preserve"> </w:t>
      </w:r>
      <w:r>
        <w:rPr>
          <w:rFonts w:eastAsia="Arial" w:cs="Arial"/>
          <w:color w:val="000000"/>
          <w:sz w:val="19"/>
          <w:szCs w:val="19"/>
          <w:shd w:fill="FFFFFF" w:val="clear"/>
          <w:lang w:val="pt-BR" w:eastAsia="en-US" w:bidi="ar-SA"/>
        </w:rPr>
        <w:t>eletrônico;</w:t>
      </w:r>
    </w:p>
    <w:p>
      <w:pPr>
        <w:pStyle w:val="Normal"/>
        <w:widowControl w:val="false"/>
        <w:tabs>
          <w:tab w:val="clear" w:pos="708"/>
          <w:tab w:val="left" w:pos="810" w:leader="none"/>
        </w:tabs>
        <w:spacing w:lineRule="auto" w:line="240" w:before="0" w:after="0"/>
        <w:ind w:left="0" w:right="0" w:hanging="0"/>
        <w:jc w:val="both"/>
        <w:rPr>
          <w:rFonts w:ascii="Arial" w:hAnsi="Arial" w:cs="Arial"/>
          <w:b/>
          <w:b/>
          <w:bCs/>
          <w:color w:val="5B5B5F"/>
          <w:sz w:val="26"/>
          <w:szCs w:val="26"/>
        </w:rPr>
      </w:pPr>
      <w:r>
        <w:rPr>
          <w:rFonts w:eastAsia="Arial" w:cs="Arial"/>
          <w:color w:val="000000"/>
          <w:sz w:val="19"/>
          <w:szCs w:val="19"/>
          <w:shd w:fill="FFFFFF" w:val="clear"/>
          <w:lang w:val="pt-BR" w:eastAsia="en-US" w:bidi="ar-SA"/>
        </w:rPr>
        <w:t>b) poderemos ter acesso ao processo, tendo vista e extraindo cópias das manifestações de interesse, Despachos e Decisões, mediante regular cadastramento no Sistema de Processo Eletrônico, em consonância com o estabelecido na Resolução nº 01/2011 do</w:t>
      </w:r>
      <w:r>
        <w:rPr>
          <w:rFonts w:eastAsia="Arial" w:cs="Arial"/>
          <w:color w:val="000000"/>
          <w:spacing w:val="-17"/>
          <w:sz w:val="19"/>
          <w:szCs w:val="19"/>
          <w:shd w:fill="FFFFFF" w:val="clear"/>
          <w:lang w:val="pt-BR" w:eastAsia="en-US" w:bidi="ar-SA"/>
        </w:rPr>
        <w:t xml:space="preserve"> </w:t>
      </w:r>
      <w:r>
        <w:rPr>
          <w:rFonts w:eastAsia="Arial" w:cs="Arial"/>
          <w:color w:val="000000"/>
          <w:sz w:val="19"/>
          <w:szCs w:val="19"/>
          <w:shd w:fill="FFFFFF" w:val="clear"/>
          <w:lang w:val="pt-BR" w:eastAsia="en-US" w:bidi="ar-SA"/>
        </w:rPr>
        <w:t>TCESP;</w:t>
      </w:r>
    </w:p>
    <w:p>
      <w:pPr>
        <w:pStyle w:val="Normal"/>
        <w:widowControl w:val="false"/>
        <w:tabs>
          <w:tab w:val="clear" w:pos="708"/>
          <w:tab w:val="left" w:pos="810" w:leader="none"/>
        </w:tabs>
        <w:spacing w:lineRule="auto" w:line="240" w:before="0" w:after="0"/>
        <w:ind w:left="0" w:right="0" w:hanging="0"/>
        <w:jc w:val="both"/>
        <w:rPr>
          <w:rFonts w:ascii="Arial" w:hAnsi="Arial" w:cs="Arial"/>
          <w:b/>
          <w:b/>
          <w:bCs/>
          <w:color w:val="5B5B5F"/>
          <w:sz w:val="26"/>
          <w:szCs w:val="26"/>
        </w:rPr>
      </w:pPr>
      <w:r>
        <w:rPr>
          <w:rFonts w:eastAsia="Arial" w:cs="Arial"/>
          <w:color w:val="000000"/>
          <w:sz w:val="19"/>
          <w:szCs w:val="19"/>
          <w:shd w:fill="FFFFFF" w:val="clear"/>
          <w:lang w:val="pt-BR" w:eastAsia="en-US" w:bidi="ar-SA"/>
        </w:rPr>
        <w:t>c) além de disponíveis no processo eletrônico, todos os Despachos e Decisões que vierem a ser tomados, relativamente ao aludido processo, serão publicados no Diário Oficial do Estado, Caderno do Poder Legislativo, parte do Tribunal de Contas do Estado de São Paulo, em conformidade com o artigo 90 da Lei Complementar nº 709, de 14 de janeiro de 1993, iniciando-se, a partir de então, a contagem dos prazos processuais, conforme regras do Código de Processo</w:t>
      </w:r>
      <w:r>
        <w:rPr>
          <w:rFonts w:eastAsia="Arial" w:cs="Arial"/>
          <w:color w:val="000000"/>
          <w:spacing w:val="-2"/>
          <w:sz w:val="19"/>
          <w:szCs w:val="19"/>
          <w:shd w:fill="FFFFFF" w:val="clear"/>
          <w:lang w:val="pt-BR" w:eastAsia="en-US" w:bidi="ar-SA"/>
        </w:rPr>
        <w:t xml:space="preserve"> </w:t>
      </w:r>
      <w:r>
        <w:rPr>
          <w:rFonts w:eastAsia="Arial" w:cs="Arial"/>
          <w:color w:val="000000"/>
          <w:sz w:val="19"/>
          <w:szCs w:val="19"/>
          <w:shd w:fill="FFFFFF" w:val="clear"/>
          <w:lang w:val="pt-BR" w:eastAsia="en-US" w:bidi="ar-SA"/>
        </w:rPr>
        <w:t>Civil;</w:t>
      </w:r>
    </w:p>
    <w:p>
      <w:pPr>
        <w:pStyle w:val="Normal"/>
        <w:widowControl w:val="false"/>
        <w:tabs>
          <w:tab w:val="clear" w:pos="708"/>
          <w:tab w:val="left" w:pos="385" w:leader="none"/>
        </w:tabs>
        <w:spacing w:lineRule="auto" w:line="240" w:before="0" w:after="0"/>
        <w:ind w:left="0" w:right="0" w:hanging="0"/>
        <w:jc w:val="both"/>
        <w:rPr>
          <w:rFonts w:ascii="Arial" w:hAnsi="Arial" w:cs="Arial"/>
          <w:b/>
          <w:b/>
          <w:bCs/>
          <w:color w:val="5B5B5F"/>
          <w:sz w:val="26"/>
          <w:szCs w:val="26"/>
        </w:rPr>
      </w:pPr>
      <w:r>
        <w:rPr>
          <w:rFonts w:eastAsia="Arial" w:cs="Arial"/>
          <w:color w:val="000000"/>
          <w:sz w:val="19"/>
          <w:szCs w:val="19"/>
          <w:shd w:fill="FFFFFF" w:val="clear"/>
          <w:lang w:val="pt-BR" w:eastAsia="en-US" w:bidi="ar-SA"/>
        </w:rPr>
        <w:t xml:space="preserve">d) as informações pessoais dos responsáveis pela </w:t>
      </w:r>
      <w:r>
        <w:rPr>
          <w:rFonts w:eastAsia="Arial" w:cs="Arial"/>
          <w:color w:val="000000"/>
          <w:sz w:val="19"/>
          <w:szCs w:val="19"/>
          <w:u w:val="single"/>
          <w:shd w:fill="FFFFFF" w:val="clear"/>
          <w:lang w:val="pt-BR" w:eastAsia="en-US" w:bidi="ar-SA"/>
        </w:rPr>
        <w:t xml:space="preserve">contratante </w:t>
      </w:r>
      <w:r>
        <w:rPr>
          <w:rFonts w:eastAsia="Arial" w:cs="Arial"/>
          <w:color w:val="000000"/>
          <w:sz w:val="19"/>
          <w:szCs w:val="19"/>
          <w:shd w:fill="FFFFFF" w:val="clear"/>
          <w:lang w:val="pt-BR" w:eastAsia="en-US" w:bidi="ar-SA"/>
        </w:rPr>
        <w:t>e interessados estão cadastradas no módulo eletrônico do “Cadastro Corporativo TCESP – CadTCESP”, nos termos previstos no Artigo 2º das Instruções nº01/2020, conforme “Declaração(ões) de Atualização Cadastral” anexa</w:t>
      </w:r>
      <w:r>
        <w:rPr>
          <w:rFonts w:eastAsia="Arial" w:cs="Arial"/>
          <w:color w:val="000000"/>
          <w:spacing w:val="-23"/>
          <w:sz w:val="19"/>
          <w:szCs w:val="19"/>
          <w:shd w:fill="FFFFFF" w:val="clear"/>
          <w:lang w:val="pt-BR" w:eastAsia="en-US" w:bidi="ar-SA"/>
        </w:rPr>
        <w:t xml:space="preserve"> </w:t>
      </w:r>
      <w:r>
        <w:rPr>
          <w:rFonts w:eastAsia="Arial" w:cs="Arial"/>
          <w:color w:val="000000"/>
          <w:sz w:val="19"/>
          <w:szCs w:val="19"/>
          <w:shd w:fill="FFFFFF" w:val="clear"/>
          <w:lang w:val="pt-BR" w:eastAsia="en-US" w:bidi="ar-SA"/>
        </w:rPr>
        <w:t>(s);</w:t>
      </w:r>
    </w:p>
    <w:p>
      <w:pPr>
        <w:pStyle w:val="Normal"/>
        <w:widowControl w:val="false"/>
        <w:tabs>
          <w:tab w:val="clear" w:pos="708"/>
          <w:tab w:val="left" w:pos="414" w:leader="none"/>
        </w:tabs>
        <w:spacing w:lineRule="auto" w:line="240" w:before="0" w:after="0"/>
        <w:ind w:left="0" w:right="0" w:hanging="0"/>
        <w:jc w:val="both"/>
        <w:rPr>
          <w:rFonts w:ascii="Arial" w:hAnsi="Arial" w:eastAsia="Arial" w:cs="Arial"/>
          <w:color w:val="000000"/>
          <w:sz w:val="19"/>
          <w:szCs w:val="19"/>
          <w:shd w:fill="FFFFFF" w:val="clear"/>
          <w:lang w:val="pt-BR" w:eastAsia="en-US" w:bidi="ar-SA"/>
        </w:rPr>
      </w:pPr>
      <w:r>
        <w:rPr>
          <w:rFonts w:eastAsia="Arial" w:cs="Arial"/>
          <w:color w:val="000000"/>
          <w:sz w:val="19"/>
          <w:szCs w:val="19"/>
          <w:shd w:fill="FFFFFF" w:val="clear"/>
          <w:lang w:val="pt-BR" w:eastAsia="en-US" w:bidi="ar-SA"/>
        </w:rPr>
        <w:t>e) é de exclusiva responsabilidade do contratado manter seus dados sempre atualizados.</w:t>
      </w:r>
    </w:p>
    <w:p>
      <w:pPr>
        <w:pStyle w:val="Corpodotexto"/>
        <w:spacing w:lineRule="auto" w:line="240" w:before="0" w:after="0"/>
        <w:ind w:left="0" w:right="0" w:hanging="0"/>
        <w:rPr>
          <w:rFonts w:ascii="Arial" w:hAnsi="Arial" w:cs="Arial"/>
          <w:b/>
          <w:b/>
          <w:bCs/>
          <w:color w:val="5B5B5F"/>
          <w:sz w:val="26"/>
          <w:szCs w:val="26"/>
        </w:rPr>
      </w:pPr>
      <w:r>
        <w:rPr>
          <w:rFonts w:eastAsia="Arial" w:cs="Arial" w:ascii="Arial" w:hAnsi="Arial"/>
          <w:b/>
          <w:bCs/>
          <w:color w:val="000000"/>
          <w:sz w:val="19"/>
          <w:szCs w:val="19"/>
          <w:shd w:fill="FFFFFF" w:val="clear"/>
          <w:lang w:val="pt-BR" w:eastAsia="en-US" w:bidi="ar-SA"/>
        </w:rPr>
        <w:t>2. Damo-nos por NOTIFICADOS</w:t>
      </w:r>
      <w:r>
        <w:rPr>
          <w:rFonts w:eastAsia="Arial" w:cs="Arial" w:ascii="Arial" w:hAnsi="Arial"/>
          <w:b/>
          <w:bCs/>
          <w:color w:val="000000"/>
          <w:spacing w:val="-2"/>
          <w:sz w:val="19"/>
          <w:szCs w:val="19"/>
          <w:shd w:fill="FFFFFF" w:val="clear"/>
          <w:lang w:val="pt-BR" w:eastAsia="en-US" w:bidi="ar-SA"/>
        </w:rPr>
        <w:t xml:space="preserve"> </w:t>
      </w:r>
      <w:r>
        <w:rPr>
          <w:rFonts w:eastAsia="Arial" w:cs="Arial" w:ascii="Arial" w:hAnsi="Arial"/>
          <w:b/>
          <w:bCs/>
          <w:color w:val="000000"/>
          <w:sz w:val="19"/>
          <w:szCs w:val="19"/>
          <w:shd w:fill="FFFFFF" w:val="clear"/>
          <w:lang w:val="pt-BR" w:eastAsia="en-US" w:bidi="ar-SA"/>
        </w:rPr>
        <w:t>para:</w:t>
      </w:r>
    </w:p>
    <w:p>
      <w:pPr>
        <w:pStyle w:val="Normal"/>
        <w:widowControl w:val="false"/>
        <w:tabs>
          <w:tab w:val="clear" w:pos="708"/>
          <w:tab w:val="left" w:pos="810" w:leader="none"/>
        </w:tabs>
        <w:spacing w:lineRule="auto" w:line="240" w:before="0" w:after="0"/>
        <w:ind w:left="0" w:right="0" w:hanging="0"/>
        <w:jc w:val="both"/>
        <w:rPr>
          <w:rFonts w:ascii="Arial" w:hAnsi="Arial" w:cs="Arial"/>
          <w:b/>
          <w:b/>
          <w:bCs/>
          <w:color w:val="5B5B5F"/>
          <w:sz w:val="26"/>
          <w:szCs w:val="26"/>
        </w:rPr>
      </w:pPr>
      <w:r>
        <w:rPr>
          <w:rFonts w:eastAsia="Arial" w:cs="Arial"/>
          <w:color w:val="000000"/>
          <w:sz w:val="19"/>
          <w:szCs w:val="19"/>
          <w:shd w:fill="FFFFFF" w:val="clear"/>
          <w:lang w:val="pt-BR" w:eastAsia="en-US" w:bidi="ar-SA"/>
        </w:rPr>
        <w:t>a) O acompanhamento dos atos do processo até seu julgamento final e consequente</w:t>
      </w:r>
      <w:r>
        <w:rPr>
          <w:rFonts w:eastAsia="Arial" w:cs="Arial"/>
          <w:color w:val="000000"/>
          <w:spacing w:val="-11"/>
          <w:sz w:val="19"/>
          <w:szCs w:val="19"/>
          <w:shd w:fill="FFFFFF" w:val="clear"/>
          <w:lang w:val="pt-BR" w:eastAsia="en-US" w:bidi="ar-SA"/>
        </w:rPr>
        <w:t xml:space="preserve"> </w:t>
      </w:r>
      <w:r>
        <w:rPr>
          <w:rFonts w:eastAsia="Arial" w:cs="Arial"/>
          <w:color w:val="000000"/>
          <w:sz w:val="19"/>
          <w:szCs w:val="19"/>
          <w:shd w:fill="FFFFFF" w:val="clear"/>
          <w:lang w:val="pt-BR" w:eastAsia="en-US" w:bidi="ar-SA"/>
        </w:rPr>
        <w:t>publicação;</w:t>
      </w:r>
    </w:p>
    <w:p>
      <w:pPr>
        <w:pStyle w:val="Normal"/>
        <w:widowControl w:val="false"/>
        <w:tabs>
          <w:tab w:val="clear" w:pos="708"/>
          <w:tab w:val="left" w:pos="810" w:leader="none"/>
        </w:tabs>
        <w:spacing w:lineRule="auto" w:line="240" w:before="0" w:after="0"/>
        <w:ind w:left="0" w:right="0" w:hanging="0"/>
        <w:jc w:val="both"/>
        <w:rPr>
          <w:rFonts w:ascii="Arial" w:hAnsi="Arial" w:cs="Arial"/>
          <w:b/>
          <w:b/>
          <w:bCs/>
          <w:color w:val="5B5B5F"/>
          <w:sz w:val="26"/>
          <w:szCs w:val="26"/>
        </w:rPr>
      </w:pPr>
      <w:r>
        <w:rPr>
          <w:rFonts w:eastAsia="Arial" w:cs="Arial"/>
          <w:color w:val="000000"/>
          <w:sz w:val="19"/>
          <w:szCs w:val="19"/>
          <w:shd w:fill="FFFFFF" w:val="clear"/>
          <w:lang w:val="pt-BR" w:eastAsia="en-US" w:bidi="ar-SA"/>
        </w:rPr>
        <w:t>b) Se for o caso e de nosso interesse, nos prazos e nas formas legais e regimentais, exercer o direito de defesa, interpor recursos e o que mais</w:t>
      </w:r>
      <w:r>
        <w:rPr>
          <w:rFonts w:eastAsia="Arial" w:cs="Arial"/>
          <w:color w:val="000000"/>
          <w:spacing w:val="-27"/>
          <w:sz w:val="19"/>
          <w:szCs w:val="19"/>
          <w:shd w:fill="FFFFFF" w:val="clear"/>
          <w:lang w:val="pt-BR" w:eastAsia="en-US" w:bidi="ar-SA"/>
        </w:rPr>
        <w:t xml:space="preserve"> </w:t>
      </w:r>
      <w:r>
        <w:rPr>
          <w:rFonts w:eastAsia="Arial" w:cs="Arial"/>
          <w:color w:val="000000"/>
          <w:sz w:val="19"/>
          <w:szCs w:val="19"/>
          <w:shd w:fill="FFFFFF" w:val="clear"/>
          <w:lang w:val="pt-BR" w:eastAsia="en-US" w:bidi="ar-SA"/>
        </w:rPr>
        <w:t>couber.</w:t>
      </w:r>
    </w:p>
    <w:p>
      <w:pPr>
        <w:pStyle w:val="Normal"/>
        <w:widowControl w:val="false"/>
        <w:spacing w:lineRule="auto" w:line="240" w:before="0" w:after="0"/>
        <w:ind w:left="0" w:right="0" w:hanging="0"/>
        <w:rPr>
          <w:rFonts w:ascii="Arial" w:hAnsi="Arial" w:eastAsia="Arial" w:cs="Arial"/>
          <w:color w:val="000000"/>
          <w:sz w:val="19"/>
          <w:szCs w:val="19"/>
          <w:shd w:fill="FFFFFF" w:val="clear"/>
          <w:lang w:val="pt-BR" w:eastAsia="en-US" w:bidi="ar-SA"/>
        </w:rPr>
      </w:pPr>
      <w:r>
        <w:rPr>
          <w:rFonts w:eastAsia="Arial" w:cs="Arial"/>
          <w:color w:val="000000"/>
          <w:sz w:val="19"/>
          <w:szCs w:val="19"/>
          <w:shd w:fill="FFFFFF" w:val="clear"/>
          <w:lang w:val="pt-BR" w:eastAsia="en-US" w:bidi="ar-SA"/>
        </w:rPr>
      </w:r>
    </w:p>
    <w:p>
      <w:pPr>
        <w:pStyle w:val="Normal"/>
        <w:widowControl w:val="false"/>
        <w:spacing w:lineRule="auto" w:line="240" w:before="0" w:after="0"/>
        <w:ind w:left="0" w:right="0" w:hanging="0"/>
        <w:rPr>
          <w:rFonts w:ascii="Arial" w:hAnsi="Arial" w:eastAsia="Arial" w:cs="Arial"/>
          <w:color w:val="000000"/>
          <w:sz w:val="19"/>
          <w:szCs w:val="19"/>
          <w:shd w:fill="FFFFFF" w:val="clear"/>
          <w:lang w:val="pt-BR" w:eastAsia="en-US" w:bidi="ar-SA"/>
        </w:rPr>
      </w:pPr>
      <w:r>
        <w:rPr>
          <w:rFonts w:eastAsia="Arial" w:cs="Arial"/>
          <w:color w:val="000000"/>
          <w:sz w:val="19"/>
          <w:szCs w:val="19"/>
          <w:shd w:fill="FFFFFF" w:val="clear"/>
          <w:lang w:val="pt-BR" w:eastAsia="en-US" w:bidi="ar-SA"/>
        </w:rPr>
      </w:r>
    </w:p>
    <w:p>
      <w:pPr>
        <w:pStyle w:val="Normal"/>
        <w:spacing w:lineRule="auto" w:line="240" w:before="0" w:after="0"/>
        <w:ind w:left="0" w:right="0" w:hanging="0"/>
        <w:jc w:val="right"/>
        <w:rPr>
          <w:rFonts w:ascii="Arial" w:hAnsi="Arial" w:eastAsia="Arial" w:cs="Arial"/>
          <w:b w:val="false"/>
          <w:b w:val="false"/>
          <w:bCs w:val="false"/>
          <w:color w:val="000000"/>
          <w:sz w:val="19"/>
          <w:szCs w:val="19"/>
          <w:u w:val="none"/>
          <w:shd w:fill="FFFFFF" w:val="clear"/>
          <w:lang w:val="pt-BR" w:eastAsia="en-US" w:bidi="ar-SA"/>
        </w:rPr>
      </w:pPr>
      <w:r>
        <w:rPr>
          <w:rFonts w:eastAsia="Arial" w:cs="Arial"/>
          <w:b w:val="false"/>
          <w:bCs w:val="false"/>
          <w:color w:val="000000"/>
          <w:sz w:val="19"/>
          <w:szCs w:val="19"/>
          <w:u w:val="none"/>
          <w:shd w:fill="FFFFFF" w:val="clear"/>
          <w:lang w:val="pt-BR" w:eastAsia="en-US" w:bidi="ar-SA"/>
        </w:rPr>
        <w:t>Estância Turística de Paraguaçu Paulista, … de …... de 2024</w:t>
      </w:r>
    </w:p>
    <w:p>
      <w:pPr>
        <w:pStyle w:val="Normal"/>
        <w:widowControl w:val="false"/>
        <w:spacing w:lineRule="auto" w:line="240" w:before="0" w:after="0"/>
        <w:ind w:left="0" w:right="0" w:hanging="0"/>
        <w:rPr>
          <w:rFonts w:ascii="Arial" w:hAnsi="Arial" w:eastAsia="Arial" w:cs="Arial"/>
          <w:b/>
          <w:b/>
          <w:color w:val="000000"/>
          <w:sz w:val="19"/>
          <w:szCs w:val="19"/>
          <w:shd w:fill="FFFFFF" w:val="clear"/>
          <w:lang w:val="pt-BR" w:eastAsia="en-US" w:bidi="ar-SA"/>
        </w:rPr>
      </w:pPr>
      <w:r>
        <w:rPr>
          <w:rFonts w:eastAsia="Arial" w:cs="Arial"/>
          <w:b/>
          <w:color w:val="000000"/>
          <w:sz w:val="19"/>
          <w:szCs w:val="19"/>
          <w:shd w:fill="FFFFFF" w:val="clear"/>
          <w:lang w:val="pt-BR" w:eastAsia="en-US" w:bidi="ar-SA"/>
        </w:rPr>
      </w:r>
    </w:p>
    <w:p>
      <w:pPr>
        <w:pStyle w:val="Normal"/>
        <w:widowControl w:val="false"/>
        <w:spacing w:lineRule="auto" w:line="240" w:before="0" w:after="0"/>
        <w:ind w:left="0" w:right="0" w:hanging="0"/>
        <w:rPr>
          <w:rFonts w:ascii="Arial" w:hAnsi="Arial" w:eastAsia="Arial" w:cs="Arial"/>
          <w:b/>
          <w:b/>
          <w:color w:val="000000"/>
          <w:sz w:val="19"/>
          <w:szCs w:val="19"/>
          <w:shd w:fill="FFFFFF" w:val="clear"/>
          <w:lang w:val="pt-BR" w:eastAsia="en-US" w:bidi="ar-SA"/>
        </w:rPr>
      </w:pPr>
      <w:r>
        <w:rPr>
          <w:rFonts w:eastAsia="Arial" w:cs="Arial"/>
          <w:b/>
          <w:color w:val="000000"/>
          <w:sz w:val="19"/>
          <w:szCs w:val="19"/>
          <w:shd w:fill="FFFFFF" w:val="clear"/>
          <w:lang w:val="pt-BR" w:eastAsia="en-US" w:bidi="ar-SA"/>
        </w:rPr>
      </w:r>
    </w:p>
    <w:p>
      <w:pPr>
        <w:pStyle w:val="Corpodotexto"/>
        <w:spacing w:lineRule="auto" w:line="240" w:before="0" w:after="0"/>
        <w:ind w:left="0" w:right="0" w:hanging="0"/>
        <w:rPr>
          <w:rFonts w:ascii="Arial" w:hAnsi="Arial" w:eastAsia="Arial" w:cs="Arial"/>
          <w:b/>
          <w:b/>
          <w:color w:val="auto"/>
          <w:kern w:val="0"/>
          <w:sz w:val="19"/>
          <w:szCs w:val="19"/>
          <w:u w:val="thick"/>
          <w:lang w:val="pt-BR" w:eastAsia="en-US" w:bidi="ar-SA"/>
        </w:rPr>
      </w:pPr>
      <w:r>
        <w:rPr>
          <w:rFonts w:eastAsia="Arial" w:cs="Arial" w:ascii="Arial" w:hAnsi="Arial"/>
          <w:b/>
          <w:color w:val="auto"/>
          <w:kern w:val="0"/>
          <w:sz w:val="19"/>
          <w:szCs w:val="19"/>
          <w:u w:val="thick"/>
          <w:lang w:val="pt-BR" w:eastAsia="en-US" w:bidi="ar-SA"/>
        </w:rPr>
        <w:t>RESPONSÁVEIS PELA HOMOLOGAÇÃO DO CERTAME OU RATIFICAÇÃO DA DISPENSA/INEXIGIBILIDADE DE LICITAÇÃO:</w:t>
      </w:r>
    </w:p>
    <w:p>
      <w:pPr>
        <w:pStyle w:val="Normal"/>
        <w:spacing w:lineRule="auto" w:line="240" w:before="0" w:after="0"/>
        <w:ind w:left="0" w:right="0" w:hanging="0"/>
        <w:rPr>
          <w:rFonts w:ascii="Arial" w:hAnsi="Arial" w:cs="Arial"/>
          <w:b/>
          <w:b/>
          <w:bCs/>
          <w:color w:val="5B5B5F"/>
          <w:sz w:val="26"/>
          <w:szCs w:val="26"/>
        </w:rPr>
      </w:pPr>
      <w:r>
        <w:rPr>
          <w:rFonts w:cs="Arial"/>
          <w:sz w:val="19"/>
          <w:szCs w:val="19"/>
          <w:u w:val="none"/>
          <w:lang w:val="pt-BR" w:eastAsia="en-US" w:bidi="ar-SA"/>
        </w:rPr>
        <w:t xml:space="preserve">Nome: </w:t>
      </w:r>
      <w:r>
        <w:rPr>
          <w:rFonts w:cs="Arial"/>
          <w:color w:val="000000"/>
          <w:sz w:val="19"/>
          <w:szCs w:val="19"/>
          <w:u w:val="none"/>
          <w:lang w:val="pt-BR" w:eastAsia="en-US" w:bidi="ar-SA"/>
        </w:rPr>
        <w:t>Antonio Takashi Sasada</w:t>
      </w:r>
    </w:p>
    <w:p>
      <w:pPr>
        <w:pStyle w:val="Normal"/>
        <w:spacing w:lineRule="auto" w:line="240" w:before="0" w:after="0"/>
        <w:ind w:left="0" w:right="0" w:hanging="0"/>
        <w:rPr>
          <w:rFonts w:ascii="Arial" w:hAnsi="Arial" w:cs="Arial"/>
          <w:b/>
          <w:b/>
          <w:bCs/>
          <w:color w:val="5B5B5F"/>
          <w:sz w:val="26"/>
          <w:szCs w:val="26"/>
        </w:rPr>
      </w:pPr>
      <w:r>
        <w:rPr>
          <w:rFonts w:cs="Arial"/>
          <w:sz w:val="19"/>
          <w:szCs w:val="19"/>
          <w:u w:val="none"/>
          <w:lang w:val="pt-BR" w:eastAsia="en-US" w:bidi="ar-SA"/>
        </w:rPr>
        <w:t xml:space="preserve">Cargo: </w:t>
      </w:r>
      <w:r>
        <w:rPr>
          <w:rFonts w:cs="Arial"/>
          <w:color w:val="000000"/>
          <w:sz w:val="19"/>
          <w:szCs w:val="19"/>
          <w:u w:val="none"/>
          <w:lang w:val="pt-BR" w:eastAsia="en-US" w:bidi="ar-SA"/>
        </w:rPr>
        <w:t>Prefeito Municipal</w:t>
      </w:r>
    </w:p>
    <w:p>
      <w:pPr>
        <w:pStyle w:val="Normal"/>
        <w:widowControl w:val="false"/>
        <w:tabs>
          <w:tab w:val="clear" w:pos="708"/>
          <w:tab w:val="left" w:pos="4511" w:leader="none"/>
          <w:tab w:val="left" w:pos="8542" w:leader="none"/>
          <w:tab w:val="left" w:pos="8620" w:leader="none"/>
        </w:tabs>
        <w:spacing w:lineRule="auto" w:line="240" w:before="0" w:after="0"/>
        <w:ind w:left="0" w:right="0" w:hanging="0"/>
        <w:rPr>
          <w:rFonts w:ascii="Arial" w:hAnsi="Arial" w:eastAsia="Calibri" w:cs="Arial"/>
          <w:b w:val="false"/>
          <w:b w:val="false"/>
          <w:bCs w:val="false"/>
          <w:strike w:val="false"/>
          <w:dstrike w:val="false"/>
          <w:color w:val="000000"/>
          <w:sz w:val="19"/>
          <w:szCs w:val="19"/>
          <w:u w:val="none"/>
          <w:lang w:val="pt-BR" w:eastAsia="en-US" w:bidi="ar-SA"/>
        </w:rPr>
      </w:pPr>
      <w:r>
        <w:rPr>
          <w:rFonts w:eastAsia="Calibri" w:cs="Arial"/>
          <w:b w:val="false"/>
          <w:bCs w:val="false"/>
          <w:strike w:val="false"/>
          <w:dstrike w:val="false"/>
          <w:color w:val="000000"/>
          <w:sz w:val="19"/>
          <w:szCs w:val="19"/>
          <w:u w:val="none"/>
          <w:lang w:val="pt-BR" w:eastAsia="en-US" w:bidi="ar-SA"/>
        </w:rPr>
        <w:t>CPF: 099.786.208-42</w:t>
      </w:r>
    </w:p>
    <w:p>
      <w:pPr>
        <w:pStyle w:val="Normal"/>
        <w:widowControl w:val="false"/>
        <w:tabs>
          <w:tab w:val="clear" w:pos="708"/>
          <w:tab w:val="left" w:pos="8630" w:leader="none"/>
        </w:tabs>
        <w:spacing w:lineRule="auto" w:line="240" w:before="0" w:after="0"/>
        <w:ind w:left="0" w:right="0" w:hanging="0"/>
        <w:rPr>
          <w:rFonts w:ascii="Arial" w:hAnsi="Arial" w:cs="Arial"/>
          <w:b/>
          <w:b/>
          <w:bCs/>
          <w:color w:val="5B5B5F"/>
          <w:sz w:val="26"/>
          <w:szCs w:val="26"/>
        </w:rPr>
      </w:pPr>
      <w:r>
        <w:rPr>
          <w:rFonts w:eastAsia="Arial" w:cs="Arial"/>
          <w:sz w:val="19"/>
          <w:szCs w:val="19"/>
          <w:lang w:val="pt-BR" w:eastAsia="en-US" w:bidi="ar-SA"/>
        </w:rPr>
        <w:t xml:space="preserve">Assinatura: </w:t>
      </w:r>
      <w:r>
        <w:rPr>
          <w:rFonts w:eastAsia="Arial" w:cs="Arial"/>
          <w:sz w:val="19"/>
          <w:szCs w:val="19"/>
          <w:u w:val="single"/>
          <w:lang w:val="pt-BR" w:eastAsia="en-US" w:bidi="ar-SA"/>
        </w:rPr>
        <w:t xml:space="preserve"> </w:t>
        <w:tab/>
      </w:r>
    </w:p>
    <w:p>
      <w:pPr>
        <w:pStyle w:val="Normal"/>
        <w:widowControl w:val="false"/>
        <w:spacing w:lineRule="auto" w:line="240" w:before="0" w:after="0"/>
        <w:ind w:left="0" w:right="0" w:hanging="0"/>
        <w:rPr>
          <w:rFonts w:ascii="Arial" w:hAnsi="Arial" w:eastAsia="Arial" w:cs="Arial"/>
          <w:sz w:val="19"/>
          <w:szCs w:val="19"/>
          <w:lang w:val="pt-BR" w:eastAsia="en-US" w:bidi="ar-SA"/>
        </w:rPr>
      </w:pPr>
      <w:r>
        <w:rPr>
          <w:rFonts w:eastAsia="Arial" w:cs="Arial"/>
          <w:sz w:val="19"/>
          <w:szCs w:val="19"/>
          <w:lang w:val="pt-BR" w:eastAsia="en-US" w:bidi="ar-SA"/>
        </w:rPr>
      </w:r>
    </w:p>
    <w:p>
      <w:pPr>
        <w:pStyle w:val="Normal"/>
        <w:widowControl w:val="false"/>
        <w:spacing w:lineRule="auto" w:line="240" w:before="0" w:after="0"/>
        <w:ind w:left="0" w:right="0" w:hanging="0"/>
        <w:rPr>
          <w:rFonts w:ascii="Arial" w:hAnsi="Arial" w:eastAsia="Arial" w:cs="Arial"/>
          <w:sz w:val="19"/>
          <w:szCs w:val="19"/>
          <w:lang w:val="pt-BR" w:eastAsia="en-US" w:bidi="ar-SA"/>
        </w:rPr>
      </w:pPr>
      <w:r>
        <w:rPr>
          <w:rFonts w:eastAsia="Arial" w:cs="Arial"/>
          <w:sz w:val="19"/>
          <w:szCs w:val="19"/>
          <w:lang w:val="pt-BR" w:eastAsia="en-US" w:bidi="ar-SA"/>
        </w:rPr>
      </w:r>
    </w:p>
    <w:p>
      <w:pPr>
        <w:pStyle w:val="Corpodotexto"/>
        <w:spacing w:lineRule="auto" w:line="240" w:before="0" w:after="0"/>
        <w:ind w:left="0" w:right="0" w:hanging="0"/>
        <w:rPr>
          <w:rFonts w:ascii="Arial" w:hAnsi="Arial" w:eastAsia="Arial" w:cs="Arial"/>
          <w:b/>
          <w:b/>
          <w:color w:val="auto"/>
          <w:kern w:val="0"/>
          <w:sz w:val="19"/>
          <w:szCs w:val="19"/>
          <w:u w:val="thick"/>
          <w:lang w:val="pt-BR" w:eastAsia="en-US" w:bidi="ar-SA"/>
        </w:rPr>
      </w:pPr>
      <w:r>
        <w:rPr>
          <w:rFonts w:eastAsia="Arial" w:cs="Arial" w:ascii="Arial" w:hAnsi="Arial"/>
          <w:b/>
          <w:color w:val="auto"/>
          <w:kern w:val="0"/>
          <w:sz w:val="19"/>
          <w:szCs w:val="19"/>
          <w:u w:val="thick"/>
          <w:lang w:val="pt-BR" w:eastAsia="en-US" w:bidi="ar-SA"/>
        </w:rPr>
        <w:t>RESPONSÁVEIS QUE ASSINARAM O AJUSTE:</w:t>
      </w:r>
    </w:p>
    <w:p>
      <w:pPr>
        <w:pStyle w:val="Normal"/>
        <w:widowControl w:val="false"/>
        <w:spacing w:lineRule="auto" w:line="240" w:before="0" w:after="0"/>
        <w:ind w:left="0" w:right="0" w:hanging="0"/>
        <w:rPr>
          <w:rFonts w:ascii="Arial" w:hAnsi="Arial" w:cs="Arial"/>
          <w:b/>
          <w:b/>
          <w:bCs/>
          <w:color w:val="5B5B5F"/>
          <w:sz w:val="26"/>
          <w:szCs w:val="26"/>
        </w:rPr>
      </w:pPr>
      <w:r>
        <w:rPr>
          <w:rFonts w:eastAsia="Arial" w:cs="Arial"/>
          <w:b/>
          <w:sz w:val="19"/>
          <w:szCs w:val="19"/>
          <w:u w:val="thick"/>
          <w:lang w:val="pt-BR" w:eastAsia="en-US" w:bidi="ar-SA"/>
        </w:rPr>
        <w:t>Pelo contratante</w:t>
      </w:r>
      <w:r>
        <w:rPr>
          <w:rFonts w:eastAsia="Arial" w:cs="Arial"/>
          <w:b/>
          <w:sz w:val="19"/>
          <w:szCs w:val="19"/>
          <w:lang w:val="pt-BR" w:eastAsia="en-US" w:bidi="ar-SA"/>
        </w:rPr>
        <w:t>:</w:t>
      </w:r>
    </w:p>
    <w:p>
      <w:pPr>
        <w:pStyle w:val="Normal"/>
        <w:spacing w:lineRule="auto" w:line="240" w:before="0" w:after="0"/>
        <w:ind w:left="0" w:right="0" w:hanging="0"/>
        <w:rPr>
          <w:rFonts w:ascii="Arial" w:hAnsi="Arial" w:cs="Arial"/>
          <w:b/>
          <w:b/>
          <w:bCs/>
          <w:color w:val="5B5B5F"/>
          <w:sz w:val="26"/>
          <w:szCs w:val="26"/>
        </w:rPr>
      </w:pPr>
      <w:r>
        <w:rPr>
          <w:rFonts w:cs="Arial"/>
          <w:sz w:val="19"/>
          <w:szCs w:val="19"/>
          <w:u w:val="none"/>
          <w:lang w:val="pt-BR" w:eastAsia="en-US" w:bidi="ar-SA"/>
        </w:rPr>
        <w:t xml:space="preserve">Nome: </w:t>
      </w:r>
      <w:r>
        <w:rPr>
          <w:rFonts w:cs="Arial"/>
          <w:color w:val="000000"/>
          <w:sz w:val="19"/>
          <w:szCs w:val="19"/>
          <w:u w:val="none"/>
          <w:lang w:val="pt-BR" w:eastAsia="en-US" w:bidi="ar-SA"/>
        </w:rPr>
        <w:t>Antonio Takashi Sasada</w:t>
      </w:r>
    </w:p>
    <w:p>
      <w:pPr>
        <w:pStyle w:val="Normal"/>
        <w:spacing w:lineRule="auto" w:line="240" w:before="0" w:after="0"/>
        <w:ind w:left="0" w:right="0" w:hanging="0"/>
        <w:rPr>
          <w:rFonts w:ascii="Arial" w:hAnsi="Arial" w:cs="Arial"/>
          <w:b/>
          <w:b/>
          <w:bCs/>
          <w:color w:val="5B5B5F"/>
          <w:sz w:val="26"/>
          <w:szCs w:val="26"/>
        </w:rPr>
      </w:pPr>
      <w:r>
        <w:rPr>
          <w:rFonts w:cs="Arial"/>
          <w:sz w:val="19"/>
          <w:szCs w:val="19"/>
          <w:u w:val="none"/>
          <w:lang w:val="pt-BR" w:eastAsia="en-US" w:bidi="ar-SA"/>
        </w:rPr>
        <w:t xml:space="preserve">Cargo: </w:t>
      </w:r>
      <w:r>
        <w:rPr>
          <w:rFonts w:cs="Arial"/>
          <w:color w:val="000000"/>
          <w:sz w:val="19"/>
          <w:szCs w:val="19"/>
          <w:u w:val="none"/>
          <w:lang w:val="pt-BR" w:eastAsia="en-US" w:bidi="ar-SA"/>
        </w:rPr>
        <w:t>Prefeito Municipal</w:t>
      </w:r>
    </w:p>
    <w:p>
      <w:pPr>
        <w:pStyle w:val="Normal"/>
        <w:widowControl w:val="false"/>
        <w:tabs>
          <w:tab w:val="clear" w:pos="708"/>
          <w:tab w:val="left" w:pos="4511" w:leader="none"/>
          <w:tab w:val="left" w:pos="8546" w:leader="none"/>
          <w:tab w:val="left" w:pos="8618" w:leader="none"/>
        </w:tabs>
        <w:spacing w:lineRule="auto" w:line="240" w:before="0" w:after="0"/>
        <w:ind w:left="0" w:right="0" w:hanging="0"/>
        <w:rPr>
          <w:rFonts w:ascii="Arial" w:hAnsi="Arial" w:eastAsia="Calibri" w:cs="Arial"/>
          <w:b w:val="false"/>
          <w:b w:val="false"/>
          <w:bCs w:val="false"/>
          <w:strike w:val="false"/>
          <w:dstrike w:val="false"/>
          <w:color w:val="000000"/>
          <w:sz w:val="19"/>
          <w:szCs w:val="19"/>
          <w:u w:val="none"/>
          <w:lang w:val="pt-BR" w:eastAsia="en-US" w:bidi="ar-SA"/>
        </w:rPr>
      </w:pPr>
      <w:r>
        <w:rPr>
          <w:rFonts w:eastAsia="Calibri" w:cs="Arial"/>
          <w:b w:val="false"/>
          <w:bCs w:val="false"/>
          <w:strike w:val="false"/>
          <w:dstrike w:val="false"/>
          <w:color w:val="000000"/>
          <w:sz w:val="19"/>
          <w:szCs w:val="19"/>
          <w:u w:val="none"/>
          <w:lang w:val="pt-BR" w:eastAsia="en-US" w:bidi="ar-SA"/>
        </w:rPr>
        <w:t>CPF: 099.786.208-42</w:t>
      </w:r>
    </w:p>
    <w:p>
      <w:pPr>
        <w:pStyle w:val="Normal"/>
        <w:widowControl w:val="false"/>
        <w:tabs>
          <w:tab w:val="clear" w:pos="708"/>
          <w:tab w:val="left" w:pos="8639" w:leader="none"/>
        </w:tabs>
        <w:spacing w:lineRule="auto" w:line="240" w:before="0" w:after="0"/>
        <w:ind w:left="0" w:right="0" w:hanging="0"/>
        <w:rPr>
          <w:rFonts w:ascii="Arial" w:hAnsi="Arial" w:cs="Arial"/>
          <w:b/>
          <w:b/>
          <w:bCs/>
          <w:color w:val="5B5B5F"/>
          <w:sz w:val="26"/>
          <w:szCs w:val="26"/>
        </w:rPr>
      </w:pPr>
      <w:r>
        <w:rPr>
          <w:rFonts w:eastAsia="Arial" w:cs="Arial"/>
          <w:sz w:val="19"/>
          <w:szCs w:val="19"/>
          <w:lang w:val="pt-BR" w:eastAsia="en-US" w:bidi="ar-SA"/>
        </w:rPr>
        <w:t xml:space="preserve">Assinatura: </w:t>
      </w:r>
      <w:r>
        <w:rPr>
          <w:rFonts w:eastAsia="Arial" w:cs="Arial"/>
          <w:sz w:val="19"/>
          <w:szCs w:val="19"/>
          <w:u w:val="single"/>
          <w:lang w:val="pt-BR" w:eastAsia="en-US" w:bidi="ar-SA"/>
        </w:rPr>
        <w:t xml:space="preserve"> </w:t>
        <w:tab/>
      </w:r>
    </w:p>
    <w:p>
      <w:pPr>
        <w:pStyle w:val="Corpodotexto"/>
        <w:spacing w:lineRule="auto" w:line="240" w:before="0" w:after="0"/>
        <w:ind w:left="0" w:right="0" w:hanging="0"/>
        <w:rPr>
          <w:rFonts w:ascii="Arial" w:hAnsi="Arial"/>
          <w:sz w:val="19"/>
          <w:szCs w:val="19"/>
        </w:rPr>
      </w:pPr>
      <w:r>
        <w:rPr>
          <w:rFonts w:ascii="Arial" w:hAnsi="Arial"/>
          <w:sz w:val="19"/>
          <w:szCs w:val="19"/>
        </w:rPr>
      </w:r>
    </w:p>
    <w:p>
      <w:pPr>
        <w:pStyle w:val="Corpodotexto"/>
        <w:spacing w:lineRule="auto" w:line="240" w:before="0" w:after="0"/>
        <w:ind w:left="0" w:right="0" w:hanging="0"/>
        <w:rPr>
          <w:rFonts w:ascii="Arial" w:hAnsi="Arial"/>
          <w:sz w:val="19"/>
          <w:szCs w:val="19"/>
        </w:rPr>
      </w:pPr>
      <w:r>
        <w:rPr>
          <w:rFonts w:ascii="Arial" w:hAnsi="Arial"/>
          <w:sz w:val="19"/>
          <w:szCs w:val="19"/>
        </w:rPr>
      </w:r>
    </w:p>
    <w:p>
      <w:pPr>
        <w:pStyle w:val="Corpodotexto"/>
        <w:spacing w:lineRule="auto" w:line="240" w:before="0" w:after="0"/>
        <w:ind w:left="0" w:right="0" w:hanging="0"/>
        <w:rPr>
          <w:rFonts w:ascii="Arial" w:hAnsi="Arial" w:cs="Arial"/>
          <w:b/>
          <w:b/>
          <w:bCs/>
          <w:color w:val="5B5B5F"/>
          <w:sz w:val="26"/>
          <w:szCs w:val="26"/>
        </w:rPr>
      </w:pPr>
      <w:r>
        <w:rPr>
          <w:rFonts w:eastAsia="Arial" w:cs="Arial" w:ascii="Arial" w:hAnsi="Arial"/>
          <w:b/>
          <w:bCs/>
          <w:sz w:val="19"/>
          <w:szCs w:val="19"/>
          <w:u w:val="thick"/>
          <w:lang w:val="pt-BR" w:eastAsia="en-US" w:bidi="ar-SA"/>
        </w:rPr>
        <w:t>Pela contratada</w:t>
      </w:r>
      <w:r>
        <w:rPr>
          <w:rFonts w:eastAsia="Arial" w:cs="Arial" w:ascii="Arial" w:hAnsi="Arial"/>
          <w:b/>
          <w:bCs/>
          <w:sz w:val="19"/>
          <w:szCs w:val="19"/>
          <w:lang w:val="pt-BR" w:eastAsia="en-US" w:bidi="ar-SA"/>
        </w:rPr>
        <w:t>:</w:t>
      </w:r>
    </w:p>
    <w:p>
      <w:pPr>
        <w:pStyle w:val="Normal"/>
        <w:widowControl w:val="false"/>
        <w:tabs>
          <w:tab w:val="clear" w:pos="708"/>
          <w:tab w:val="left" w:pos="4511" w:leader="none"/>
          <w:tab w:val="left" w:pos="8548" w:leader="none"/>
          <w:tab w:val="left" w:pos="8618" w:leader="none"/>
        </w:tabs>
        <w:spacing w:lineRule="auto" w:line="240" w:before="0" w:after="0"/>
        <w:ind w:left="0" w:right="0" w:hanging="0"/>
        <w:rPr>
          <w:rFonts w:ascii="Arial" w:hAnsi="Arial" w:eastAsia="Arial" w:cs="Arial"/>
          <w:sz w:val="19"/>
          <w:szCs w:val="19"/>
          <w:u w:val="none"/>
          <w:lang w:val="pt-BR" w:eastAsia="en-US" w:bidi="ar-SA"/>
        </w:rPr>
      </w:pPr>
      <w:r>
        <w:rPr>
          <w:rFonts w:eastAsia="Arial" w:cs="Arial"/>
          <w:sz w:val="19"/>
          <w:szCs w:val="19"/>
          <w:u w:val="none"/>
          <w:lang w:val="pt-BR" w:eastAsia="en-US" w:bidi="ar-SA"/>
        </w:rPr>
        <w:t xml:space="preserve">Nome: </w:t>
        <w:tab/>
        <w:tab/>
        <w:t xml:space="preserve"> </w:t>
      </w:r>
    </w:p>
    <w:p>
      <w:pPr>
        <w:pStyle w:val="Normal"/>
        <w:widowControl w:val="false"/>
        <w:tabs>
          <w:tab w:val="clear" w:pos="708"/>
          <w:tab w:val="left" w:pos="4511" w:leader="none"/>
          <w:tab w:val="left" w:pos="8548" w:leader="none"/>
          <w:tab w:val="left" w:pos="8618" w:leader="none"/>
        </w:tabs>
        <w:spacing w:lineRule="auto" w:line="240" w:before="0" w:after="0"/>
        <w:ind w:left="0" w:right="0" w:hanging="0"/>
        <w:rPr>
          <w:rFonts w:ascii="Arial" w:hAnsi="Arial" w:eastAsia="Arial" w:cs="Arial"/>
          <w:sz w:val="19"/>
          <w:szCs w:val="19"/>
          <w:u w:val="none"/>
          <w:lang w:val="pt-BR" w:eastAsia="en-US" w:bidi="ar-SA"/>
        </w:rPr>
      </w:pPr>
      <w:r>
        <w:rPr>
          <w:rFonts w:eastAsia="Arial" w:cs="Arial"/>
          <w:sz w:val="19"/>
          <w:szCs w:val="19"/>
          <w:u w:val="none"/>
          <w:lang w:val="pt-BR" w:eastAsia="en-US" w:bidi="ar-SA"/>
        </w:rPr>
        <w:t>Cargo:</w:t>
        <w:tab/>
        <w:tab/>
        <w:tab/>
        <w:t xml:space="preserve"> </w:t>
      </w:r>
    </w:p>
    <w:p>
      <w:pPr>
        <w:pStyle w:val="Normal"/>
        <w:widowControl w:val="false"/>
        <w:tabs>
          <w:tab w:val="clear" w:pos="708"/>
          <w:tab w:val="left" w:pos="4511" w:leader="none"/>
          <w:tab w:val="left" w:pos="8548" w:leader="none"/>
          <w:tab w:val="left" w:pos="8618" w:leader="none"/>
        </w:tabs>
        <w:spacing w:lineRule="auto" w:line="240" w:before="0" w:after="0"/>
        <w:ind w:left="0" w:right="0" w:hanging="0"/>
        <w:rPr>
          <w:rFonts w:ascii="Arial" w:hAnsi="Arial" w:eastAsia="Arial" w:cs="Arial"/>
          <w:sz w:val="19"/>
          <w:szCs w:val="19"/>
          <w:u w:val="none"/>
          <w:lang w:val="pt-BR" w:eastAsia="en-US" w:bidi="ar-SA"/>
        </w:rPr>
      </w:pPr>
      <w:r>
        <w:rPr>
          <w:rFonts w:eastAsia="Arial" w:cs="Arial"/>
          <w:sz w:val="19"/>
          <w:szCs w:val="19"/>
          <w:u w:val="none"/>
          <w:lang w:val="pt-BR" w:eastAsia="en-US" w:bidi="ar-SA"/>
        </w:rPr>
        <w:t xml:space="preserve">CPF: </w:t>
        <w:tab/>
      </w:r>
    </w:p>
    <w:p>
      <w:pPr>
        <w:pStyle w:val="Normal"/>
        <w:widowControl w:val="false"/>
        <w:tabs>
          <w:tab w:val="clear" w:pos="708"/>
          <w:tab w:val="left" w:pos="8639" w:leader="none"/>
        </w:tabs>
        <w:spacing w:lineRule="auto" w:line="240" w:before="0" w:after="0"/>
        <w:ind w:left="0" w:right="0" w:hanging="0"/>
        <w:rPr>
          <w:rFonts w:ascii="Arial" w:hAnsi="Arial" w:cs="Arial"/>
          <w:b/>
          <w:b/>
          <w:bCs/>
          <w:color w:val="5B5B5F"/>
          <w:sz w:val="26"/>
          <w:szCs w:val="26"/>
        </w:rPr>
      </w:pPr>
      <w:r>
        <w:rPr>
          <w:rFonts w:eastAsia="Arial" w:cs="Arial"/>
          <w:sz w:val="19"/>
          <w:szCs w:val="19"/>
          <w:lang w:val="pt-BR" w:eastAsia="en-US" w:bidi="ar-SA"/>
        </w:rPr>
        <w:t xml:space="preserve">Assinatura: </w:t>
      </w:r>
      <w:r>
        <w:rPr>
          <w:rFonts w:eastAsia="Arial" w:cs="Arial"/>
          <w:sz w:val="19"/>
          <w:szCs w:val="19"/>
          <w:u w:val="single"/>
          <w:lang w:val="pt-BR" w:eastAsia="en-US" w:bidi="ar-SA"/>
        </w:rPr>
        <w:t xml:space="preserve"> </w:t>
        <w:tab/>
      </w:r>
    </w:p>
    <w:p>
      <w:pPr>
        <w:pStyle w:val="Normal"/>
        <w:widowControl w:val="false"/>
        <w:spacing w:lineRule="auto" w:line="240" w:before="0" w:after="0"/>
        <w:ind w:left="0" w:right="0" w:hanging="0"/>
        <w:rPr>
          <w:rFonts w:ascii="Arial" w:hAnsi="Arial" w:eastAsia="Arial" w:cs="Arial"/>
          <w:sz w:val="19"/>
          <w:szCs w:val="19"/>
          <w:lang w:val="pt-BR" w:eastAsia="en-US" w:bidi="ar-SA"/>
        </w:rPr>
      </w:pPr>
      <w:r>
        <w:rPr>
          <w:rFonts w:eastAsia="Arial" w:cs="Arial"/>
          <w:sz w:val="19"/>
          <w:szCs w:val="19"/>
          <w:lang w:val="pt-BR" w:eastAsia="en-US" w:bidi="ar-SA"/>
        </w:rPr>
      </w:r>
    </w:p>
    <w:p>
      <w:pPr>
        <w:pStyle w:val="Corpodotexto"/>
        <w:spacing w:lineRule="auto" w:line="240" w:before="0" w:after="0"/>
        <w:ind w:left="0" w:right="0" w:hanging="0"/>
        <w:rPr>
          <w:rFonts w:ascii="Arial" w:hAnsi="Arial" w:cs="Arial"/>
          <w:b/>
          <w:b/>
          <w:bCs/>
          <w:color w:val="5B5B5F"/>
          <w:sz w:val="26"/>
          <w:szCs w:val="26"/>
        </w:rPr>
      </w:pPr>
      <w:r>
        <w:rPr>
          <w:rFonts w:eastAsia="Arial" w:cs="Arial" w:ascii="Arial" w:hAnsi="Arial"/>
          <w:b/>
          <w:bCs/>
          <w:sz w:val="19"/>
          <w:szCs w:val="19"/>
          <w:u w:val="thick"/>
          <w:lang w:val="pt-BR" w:eastAsia="en-US" w:bidi="ar-SA"/>
        </w:rPr>
        <w:t>ORDENADOR DE DESPESAS DA CONTRATANTE</w:t>
      </w:r>
      <w:r>
        <w:rPr>
          <w:rFonts w:eastAsia="Arial" w:cs="Arial" w:ascii="Arial" w:hAnsi="Arial"/>
          <w:b/>
          <w:bCs/>
          <w:sz w:val="19"/>
          <w:szCs w:val="19"/>
          <w:lang w:val="pt-BR" w:eastAsia="en-US" w:bidi="ar-SA"/>
        </w:rPr>
        <w:t>:</w:t>
      </w:r>
    </w:p>
    <w:p>
      <w:pPr>
        <w:pStyle w:val="Normal"/>
        <w:spacing w:lineRule="auto" w:line="240" w:before="0" w:after="0"/>
        <w:ind w:left="0" w:right="0" w:hanging="0"/>
        <w:rPr>
          <w:rFonts w:ascii="Arial" w:hAnsi="Arial" w:eastAsia="Calibri" w:cs="Arial"/>
          <w:sz w:val="19"/>
          <w:szCs w:val="19"/>
          <w:lang w:val="pt-BR" w:eastAsia="en-US" w:bidi="ar-SA"/>
        </w:rPr>
      </w:pPr>
      <w:r>
        <w:rPr>
          <w:rFonts w:eastAsia="Calibri" w:cs="Arial"/>
          <w:sz w:val="19"/>
          <w:szCs w:val="19"/>
          <w:lang w:val="pt-BR" w:eastAsia="en-US" w:bidi="ar-SA"/>
        </w:rPr>
        <w:t>Nome: Dênis Roberto Victorino da Silva</w:t>
      </w:r>
    </w:p>
    <w:p>
      <w:pPr>
        <w:pStyle w:val="Normal"/>
        <w:spacing w:lineRule="auto" w:line="240" w:before="0" w:after="0"/>
        <w:ind w:left="0" w:right="0" w:hanging="0"/>
        <w:rPr>
          <w:rFonts w:ascii="Arial" w:hAnsi="Arial" w:eastAsia="Calibri" w:cs="Arial"/>
          <w:sz w:val="19"/>
          <w:szCs w:val="19"/>
          <w:lang w:val="pt-BR" w:eastAsia="en-US" w:bidi="ar-SA"/>
        </w:rPr>
      </w:pPr>
      <w:r>
        <w:rPr>
          <w:rFonts w:eastAsia="Calibri" w:cs="Arial"/>
          <w:sz w:val="19"/>
          <w:szCs w:val="19"/>
          <w:lang w:val="pt-BR" w:eastAsia="en-US" w:bidi="ar-SA"/>
        </w:rPr>
        <w:t>Cargo: Diretor do Departamento de Finanças</w:t>
      </w:r>
    </w:p>
    <w:p>
      <w:pPr>
        <w:pStyle w:val="Normal"/>
        <w:widowControl w:val="false"/>
        <w:tabs>
          <w:tab w:val="clear" w:pos="708"/>
          <w:tab w:val="left" w:pos="4511" w:leader="none"/>
          <w:tab w:val="left" w:pos="8545" w:leader="none"/>
          <w:tab w:val="left" w:pos="8618" w:leader="none"/>
        </w:tabs>
        <w:spacing w:lineRule="auto" w:line="240" w:before="0" w:after="0"/>
        <w:ind w:left="0" w:right="0" w:hanging="0"/>
        <w:rPr>
          <w:rFonts w:ascii="Arial" w:hAnsi="Arial" w:eastAsia="Calibri" w:cs="Arial"/>
          <w:b w:val="false"/>
          <w:b w:val="false"/>
          <w:bCs w:val="false"/>
          <w:sz w:val="19"/>
          <w:szCs w:val="19"/>
          <w:u w:val="none"/>
          <w:lang w:val="pt-BR" w:eastAsia="en-US" w:bidi="ar-SA"/>
        </w:rPr>
      </w:pPr>
      <w:r>
        <w:rPr>
          <w:rFonts w:eastAsia="Calibri" w:cs="Arial"/>
          <w:b w:val="false"/>
          <w:bCs w:val="false"/>
          <w:sz w:val="19"/>
          <w:szCs w:val="19"/>
          <w:u w:val="none"/>
          <w:lang w:val="pt-BR" w:eastAsia="en-US" w:bidi="ar-SA"/>
        </w:rPr>
        <w:t>CPF: 382.980.778-30</w:t>
      </w:r>
    </w:p>
    <w:p>
      <w:pPr>
        <w:pStyle w:val="Normal"/>
        <w:widowControl w:val="false"/>
        <w:tabs>
          <w:tab w:val="clear" w:pos="708"/>
          <w:tab w:val="left" w:pos="8637" w:leader="none"/>
        </w:tabs>
        <w:spacing w:lineRule="auto" w:line="240" w:before="0" w:after="0"/>
        <w:ind w:left="0" w:right="0" w:hanging="0"/>
        <w:rPr>
          <w:rFonts w:ascii="Arial" w:hAnsi="Arial" w:cs="Arial"/>
          <w:b/>
          <w:b/>
          <w:bCs/>
          <w:color w:val="5B5B5F"/>
          <w:sz w:val="26"/>
          <w:szCs w:val="26"/>
        </w:rPr>
      </w:pPr>
      <w:r>
        <w:rPr>
          <w:rFonts w:eastAsia="Arial" w:cs="Arial"/>
          <w:sz w:val="19"/>
          <w:szCs w:val="19"/>
          <w:lang w:val="pt-BR" w:eastAsia="en-US" w:bidi="ar-SA"/>
        </w:rPr>
        <w:t xml:space="preserve">Assinatura: </w:t>
      </w:r>
      <w:r>
        <w:rPr>
          <w:rFonts w:eastAsia="Arial" w:cs="Arial"/>
          <w:sz w:val="19"/>
          <w:szCs w:val="19"/>
          <w:u w:val="single"/>
          <w:lang w:val="pt-BR" w:eastAsia="en-US" w:bidi="ar-SA"/>
        </w:rPr>
        <w:t xml:space="preserve"> </w:t>
        <w:tab/>
      </w:r>
    </w:p>
    <w:p>
      <w:pPr>
        <w:pStyle w:val="Corpodotexto"/>
        <w:spacing w:lineRule="auto" w:line="240" w:before="0" w:after="0"/>
        <w:ind w:left="0" w:right="0" w:hanging="0"/>
        <w:rPr>
          <w:rFonts w:ascii="Arial" w:hAnsi="Arial"/>
          <w:sz w:val="19"/>
          <w:szCs w:val="19"/>
        </w:rPr>
      </w:pPr>
      <w:r>
        <w:rPr>
          <w:rFonts w:ascii="Arial" w:hAnsi="Arial"/>
          <w:sz w:val="19"/>
          <w:szCs w:val="19"/>
        </w:rPr>
      </w:r>
    </w:p>
    <w:p>
      <w:pPr>
        <w:pStyle w:val="Corpodotexto"/>
        <w:spacing w:lineRule="auto" w:line="240" w:before="0" w:after="0"/>
        <w:ind w:left="0" w:right="0" w:hanging="0"/>
        <w:rPr>
          <w:rFonts w:ascii="Arial" w:hAnsi="Arial" w:cs="Arial"/>
          <w:b/>
          <w:b/>
          <w:bCs/>
          <w:color w:val="5B5B5F"/>
          <w:sz w:val="26"/>
          <w:szCs w:val="26"/>
        </w:rPr>
      </w:pPr>
      <w:r>
        <w:rPr>
          <w:rFonts w:eastAsia="Arial" w:cs="Arial" w:ascii="Arial" w:hAnsi="Arial"/>
          <w:b/>
          <w:bCs/>
          <w:sz w:val="19"/>
          <w:szCs w:val="19"/>
          <w:u w:val="thick"/>
          <w:lang w:val="pt-BR" w:eastAsia="en-US" w:bidi="ar-SA"/>
        </w:rPr>
        <w:t>GESTOR(ES) DO CONTRATO</w:t>
      </w:r>
      <w:r>
        <w:rPr>
          <w:rFonts w:eastAsia="Arial" w:cs="Arial" w:ascii="Arial" w:hAnsi="Arial"/>
          <w:b/>
          <w:bCs/>
          <w:sz w:val="19"/>
          <w:szCs w:val="19"/>
          <w:lang w:val="pt-BR" w:eastAsia="en-US" w:bidi="ar-SA"/>
        </w:rPr>
        <w:t>:</w:t>
      </w:r>
    </w:p>
    <w:p>
      <w:pPr>
        <w:pStyle w:val="Normal"/>
        <w:widowControl w:val="false"/>
        <w:tabs>
          <w:tab w:val="clear" w:pos="708"/>
          <w:tab w:val="left" w:pos="4571" w:leader="none"/>
          <w:tab w:val="left" w:pos="8605" w:leader="none"/>
          <w:tab w:val="left" w:pos="8678" w:leader="none"/>
        </w:tabs>
        <w:spacing w:lineRule="auto" w:line="240" w:before="0" w:after="0"/>
        <w:ind w:left="0" w:right="0" w:hanging="0"/>
        <w:rPr>
          <w:rFonts w:ascii="Arial" w:hAnsi="Arial" w:eastAsia="Arial" w:cs="Arial"/>
          <w:sz w:val="19"/>
          <w:szCs w:val="19"/>
          <w:u w:val="none"/>
          <w:lang w:val="pt-BR" w:eastAsia="en-US" w:bidi="ar-SA"/>
        </w:rPr>
      </w:pPr>
      <w:r>
        <w:rPr>
          <w:rFonts w:eastAsia="Arial" w:cs="Arial"/>
          <w:sz w:val="19"/>
          <w:szCs w:val="19"/>
          <w:u w:val="none"/>
          <w:lang w:val="pt-BR" w:eastAsia="en-US" w:bidi="ar-SA"/>
        </w:rPr>
        <w:t xml:space="preserve">Nome: </w:t>
        <w:tab/>
      </w:r>
    </w:p>
    <w:p>
      <w:pPr>
        <w:pStyle w:val="Normal"/>
        <w:widowControl w:val="false"/>
        <w:tabs>
          <w:tab w:val="clear" w:pos="708"/>
          <w:tab w:val="left" w:pos="4571" w:leader="none"/>
          <w:tab w:val="left" w:pos="8605" w:leader="none"/>
          <w:tab w:val="left" w:pos="8678" w:leader="none"/>
        </w:tabs>
        <w:spacing w:lineRule="auto" w:line="240" w:before="0" w:after="0"/>
        <w:ind w:left="0" w:right="0" w:hanging="0"/>
        <w:rPr>
          <w:rFonts w:ascii="Arial" w:hAnsi="Arial" w:eastAsia="Arial" w:cs="Arial"/>
          <w:sz w:val="19"/>
          <w:szCs w:val="19"/>
          <w:u w:val="none"/>
          <w:lang w:val="pt-BR" w:eastAsia="en-US" w:bidi="ar-SA"/>
        </w:rPr>
      </w:pPr>
      <w:r>
        <w:rPr>
          <w:rFonts w:eastAsia="Arial" w:cs="Arial"/>
          <w:sz w:val="19"/>
          <w:szCs w:val="19"/>
          <w:u w:val="none"/>
          <w:lang w:val="pt-BR" w:eastAsia="en-US" w:bidi="ar-SA"/>
        </w:rPr>
        <w:t xml:space="preserve">Cargo: </w:t>
      </w:r>
    </w:p>
    <w:p>
      <w:pPr>
        <w:pStyle w:val="Normal"/>
        <w:widowControl w:val="false"/>
        <w:tabs>
          <w:tab w:val="clear" w:pos="708"/>
          <w:tab w:val="left" w:pos="4571" w:leader="none"/>
          <w:tab w:val="left" w:pos="8605" w:leader="none"/>
          <w:tab w:val="left" w:pos="8678" w:leader="none"/>
        </w:tabs>
        <w:spacing w:lineRule="auto" w:line="240" w:before="0" w:after="0"/>
        <w:ind w:left="0" w:right="0" w:hanging="0"/>
        <w:rPr>
          <w:rFonts w:ascii="Arial" w:hAnsi="Arial" w:eastAsia="Arial" w:cs="Arial"/>
          <w:sz w:val="19"/>
          <w:szCs w:val="19"/>
          <w:u w:val="none"/>
          <w:lang w:val="pt-BR" w:eastAsia="en-US" w:bidi="ar-SA"/>
        </w:rPr>
      </w:pPr>
      <w:r>
        <w:rPr>
          <w:rFonts w:eastAsia="Arial" w:cs="Arial"/>
          <w:sz w:val="19"/>
          <w:szCs w:val="19"/>
          <w:u w:val="none"/>
          <w:lang w:val="pt-BR" w:eastAsia="en-US" w:bidi="ar-SA"/>
        </w:rPr>
        <w:t xml:space="preserve">CPF: </w:t>
      </w:r>
    </w:p>
    <w:p>
      <w:pPr>
        <w:pStyle w:val="Normal"/>
        <w:widowControl w:val="false"/>
        <w:tabs>
          <w:tab w:val="clear" w:pos="708"/>
          <w:tab w:val="left" w:pos="8637" w:leader="none"/>
        </w:tabs>
        <w:spacing w:lineRule="auto" w:line="240" w:before="0" w:after="0"/>
        <w:ind w:left="0" w:right="0" w:hanging="0"/>
        <w:rPr>
          <w:rFonts w:ascii="Arial" w:hAnsi="Arial" w:cs="Arial"/>
          <w:b/>
          <w:b/>
          <w:bCs/>
          <w:color w:val="5B5B5F"/>
          <w:sz w:val="26"/>
          <w:szCs w:val="26"/>
        </w:rPr>
      </w:pPr>
      <w:r>
        <w:rPr>
          <w:rFonts w:eastAsia="Arial" w:cs="Arial"/>
          <w:i w:val="false"/>
          <w:iCs w:val="false"/>
          <w:color w:val="000000"/>
          <w:sz w:val="19"/>
          <w:szCs w:val="19"/>
          <w:u w:val="none"/>
          <w:shd w:fill="FFFFFF" w:val="clear"/>
          <w:lang w:val="pt-BR" w:eastAsia="en-US" w:bidi="ar-SA"/>
        </w:rPr>
        <w:t xml:space="preserve">Assinatura: </w:t>
      </w:r>
      <w:r>
        <w:rPr>
          <w:rFonts w:eastAsia="Arial" w:cs="Arial"/>
          <w:i w:val="false"/>
          <w:iCs w:val="false"/>
          <w:color w:val="000000"/>
          <w:sz w:val="19"/>
          <w:szCs w:val="19"/>
          <w:u w:val="single"/>
          <w:shd w:fill="FFFFFF" w:val="clear"/>
          <w:lang w:val="pt-BR" w:eastAsia="en-US" w:bidi="ar-SA"/>
        </w:rPr>
        <w:t xml:space="preserve"> </w:t>
        <w:tab/>
      </w:r>
    </w:p>
    <w:p>
      <w:pPr>
        <w:pStyle w:val="Normal"/>
        <w:widowControl w:val="false"/>
        <w:spacing w:lineRule="auto" w:line="240" w:before="0" w:after="0"/>
        <w:ind w:left="0" w:right="0" w:hanging="0"/>
        <w:rPr>
          <w:rFonts w:ascii="Arial" w:hAnsi="Arial" w:eastAsia="Arial" w:cs="Arial"/>
          <w:sz w:val="19"/>
          <w:szCs w:val="19"/>
          <w:lang w:val="pt-BR" w:eastAsia="en-US" w:bidi="ar-SA"/>
        </w:rPr>
      </w:pPr>
      <w:r>
        <w:rPr>
          <w:rFonts w:eastAsia="Arial" w:cs="Arial"/>
          <w:sz w:val="19"/>
          <w:szCs w:val="19"/>
          <w:lang w:val="pt-BR" w:eastAsia="en-US" w:bidi="ar-SA"/>
        </w:rPr>
      </w:r>
    </w:p>
    <w:p>
      <w:pPr>
        <w:pStyle w:val="Corpodotexto"/>
        <w:spacing w:lineRule="auto" w:line="240" w:before="0" w:after="0"/>
        <w:ind w:left="0" w:right="0" w:hanging="0"/>
        <w:rPr>
          <w:rFonts w:ascii="Arial" w:hAnsi="Arial" w:eastAsia="Arial" w:cs="Arial"/>
          <w:b/>
          <w:b/>
          <w:bCs/>
          <w:sz w:val="19"/>
          <w:szCs w:val="19"/>
          <w:u w:val="thick"/>
          <w:lang w:val="pt-BR" w:eastAsia="en-US" w:bidi="ar-SA"/>
        </w:rPr>
      </w:pPr>
      <w:r>
        <w:rPr>
          <w:rFonts w:eastAsia="Arial" w:cs="Arial" w:ascii="Arial" w:hAnsi="Arial"/>
          <w:b/>
          <w:bCs/>
          <w:sz w:val="19"/>
          <w:szCs w:val="19"/>
          <w:u w:val="thick"/>
          <w:lang w:val="pt-BR" w:eastAsia="en-US" w:bidi="ar-SA"/>
        </w:rPr>
        <mc:AlternateContent>
          <mc:Choice Requires="wps">
            <w:drawing>
              <wp:anchor behindDoc="0" distT="0" distB="0" distL="0" distR="0" simplePos="0" locked="0" layoutInCell="0" allowOverlap="1" relativeHeight="2">
                <wp:simplePos x="0" y="0"/>
                <wp:positionH relativeFrom="column">
                  <wp:posOffset>140335</wp:posOffset>
                </wp:positionH>
                <wp:positionV relativeFrom="paragraph">
                  <wp:posOffset>19050</wp:posOffset>
                </wp:positionV>
                <wp:extent cx="5444490" cy="5080"/>
                <wp:effectExtent l="0" t="9525" r="0" b="9525"/>
                <wp:wrapTopAndBottom/>
                <wp:docPr id="1" name="Line 23"/>
                <a:graphic xmlns:a="http://schemas.openxmlformats.org/drawingml/2006/main">
                  <a:graphicData uri="http://schemas.microsoft.com/office/word/2010/wordprocessingShape">
                    <wps:wsp>
                      <wps:cNvSpPr/>
                      <wps:spPr>
                        <a:xfrm>
                          <a:off x="0" y="0"/>
                          <a:ext cx="5443920" cy="4320"/>
                        </a:xfrm>
                        <a:prstGeom prst="line">
                          <a:avLst/>
                        </a:prstGeom>
                        <a:ln w="18360">
                          <a:solidFill>
                            <a:srgbClr val="000000"/>
                          </a:solidFill>
                          <a:round/>
                        </a:ln>
                      </wps:spPr>
                      <wps:style>
                        <a:lnRef idx="0"/>
                        <a:fillRef idx="0"/>
                        <a:effectRef idx="0"/>
                        <a:fontRef idx="minor"/>
                      </wps:style>
                      <wps:bodyPr/>
                    </wps:wsp>
                  </a:graphicData>
                </a:graphic>
              </wp:anchor>
            </w:drawing>
          </mc:Choice>
          <mc:Fallback>
            <w:pict>
              <v:line id="shape_0" from="11.05pt,1.5pt" to="439.65pt,1.8pt" ID="Line 23" stroked="t" style="position:absolute">
                <v:stroke color="black" weight="18360" joinstyle="round" endcap="flat"/>
                <v:fill o:detectmouseclick="t" on="false"/>
              </v:line>
            </w:pict>
          </mc:Fallback>
        </mc:AlternateContent>
      </w:r>
    </w:p>
    <w:p>
      <w:pPr>
        <w:pStyle w:val="Corpodotexto"/>
        <w:spacing w:lineRule="auto" w:line="240" w:before="0" w:after="0"/>
        <w:ind w:left="0" w:right="0" w:hanging="0"/>
        <w:rPr>
          <w:rFonts w:ascii="Arial" w:hAnsi="Arial" w:cs="Arial"/>
          <w:b/>
          <w:b/>
          <w:bCs/>
          <w:color w:val="5B5B5F"/>
          <w:sz w:val="26"/>
          <w:szCs w:val="26"/>
        </w:rPr>
      </w:pPr>
      <w:r>
        <w:rPr>
          <w:rFonts w:eastAsia="Arial" w:cs="Arial" w:ascii="Arial" w:hAnsi="Arial"/>
          <w:b/>
          <w:bCs/>
          <w:sz w:val="19"/>
          <w:szCs w:val="19"/>
          <w:u w:val="thick"/>
          <w:lang w:val="pt-BR" w:eastAsia="en-US" w:bidi="ar-SA"/>
        </w:rPr>
        <w:t>DEMAIS RESPONSÁVEIS</w:t>
      </w:r>
      <w:r>
        <w:rPr>
          <w:rFonts w:eastAsia="Arial" w:cs="Arial" w:ascii="Arial" w:hAnsi="Arial"/>
          <w:b/>
          <w:bCs/>
          <w:sz w:val="19"/>
          <w:szCs w:val="19"/>
          <w:lang w:val="pt-BR" w:eastAsia="en-US" w:bidi="ar-SA"/>
        </w:rPr>
        <w:t>:</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cs="Arial"/>
          <w:b/>
          <w:b/>
          <w:bCs/>
          <w:color w:val="5B5B5F"/>
          <w:sz w:val="26"/>
          <w:szCs w:val="26"/>
        </w:rPr>
      </w:pPr>
      <w:r>
        <w:rPr>
          <w:rFonts w:eastAsia="Arial" w:cs="Arial"/>
          <w:sz w:val="19"/>
          <w:szCs w:val="19"/>
          <w:lang w:val="pt-BR" w:eastAsia="en-US" w:bidi="ar-SA"/>
        </w:rPr>
        <w:t>Tipo de ato sob</w:t>
      </w:r>
      <w:r>
        <w:rPr>
          <w:rFonts w:eastAsia="Arial" w:cs="Arial"/>
          <w:spacing w:val="-11"/>
          <w:sz w:val="19"/>
          <w:szCs w:val="19"/>
          <w:lang w:val="pt-BR" w:eastAsia="en-US" w:bidi="ar-SA"/>
        </w:rPr>
        <w:t xml:space="preserve"> </w:t>
      </w:r>
      <w:r>
        <w:rPr>
          <w:rFonts w:eastAsia="Arial" w:cs="Arial"/>
          <w:sz w:val="19"/>
          <w:szCs w:val="19"/>
          <w:lang w:val="pt-BR" w:eastAsia="en-US" w:bidi="ar-SA"/>
        </w:rPr>
        <w:t>sua</w:t>
      </w:r>
      <w:r>
        <w:rPr>
          <w:rFonts w:eastAsia="Arial" w:cs="Arial"/>
          <w:spacing w:val="-3"/>
          <w:sz w:val="19"/>
          <w:szCs w:val="19"/>
          <w:lang w:val="pt-BR" w:eastAsia="en-US" w:bidi="ar-SA"/>
        </w:rPr>
        <w:t xml:space="preserve"> </w:t>
      </w:r>
      <w:r>
        <w:rPr>
          <w:rFonts w:eastAsia="Arial" w:cs="Arial"/>
          <w:sz w:val="19"/>
          <w:szCs w:val="19"/>
          <w:lang w:val="pt-BR" w:eastAsia="en-US" w:bidi="ar-SA"/>
        </w:rPr>
        <w:t>responsabilidade:</w:t>
      </w:r>
      <w:r>
        <w:rPr>
          <w:rFonts w:eastAsia="Arial" w:cs="Arial"/>
          <w:spacing w:val="-2"/>
          <w:sz w:val="19"/>
          <w:szCs w:val="19"/>
          <w:lang w:val="pt-BR" w:eastAsia="en-US" w:bidi="ar-SA"/>
        </w:rPr>
        <w:t xml:space="preserve"> </w:t>
      </w:r>
      <w:r>
        <w:rPr>
          <w:rFonts w:eastAsia="Arial" w:cs="Arial"/>
          <w:b/>
          <w:bCs/>
          <w:i w:val="false"/>
          <w:iCs w:val="false"/>
          <w:spacing w:val="-2"/>
          <w:sz w:val="19"/>
          <w:szCs w:val="19"/>
          <w:u w:val="none"/>
          <w:lang w:val="pt-BR" w:eastAsia="en-US" w:bidi="ar-SA"/>
        </w:rPr>
        <w:t>coordenação, acompanhamento, monitoramento, avaliação e fiscalização</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eastAsia="Arial" w:cs="Arial"/>
          <w:sz w:val="19"/>
          <w:szCs w:val="19"/>
          <w:u w:val="none"/>
          <w:lang w:val="pt-BR" w:eastAsia="en-US" w:bidi="ar-SA"/>
        </w:rPr>
      </w:pPr>
      <w:r>
        <w:rPr>
          <w:rFonts w:eastAsia="Arial" w:cs="Arial"/>
          <w:sz w:val="19"/>
          <w:szCs w:val="19"/>
          <w:u w:val="none"/>
          <w:lang w:val="pt-BR" w:eastAsia="en-US" w:bidi="ar-SA"/>
        </w:rPr>
        <w:t>Nome:</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eastAsia="Arial" w:cs="Arial"/>
          <w:sz w:val="19"/>
          <w:szCs w:val="19"/>
          <w:u w:val="none"/>
          <w:lang w:val="pt-BR" w:eastAsia="en-US" w:bidi="ar-SA"/>
        </w:rPr>
      </w:pPr>
      <w:r>
        <w:rPr>
          <w:rFonts w:eastAsia="Arial" w:cs="Arial"/>
          <w:sz w:val="19"/>
          <w:szCs w:val="19"/>
          <w:u w:val="none"/>
          <w:lang w:val="pt-BR" w:eastAsia="en-US" w:bidi="ar-SA"/>
        </w:rPr>
        <w:t xml:space="preserve">Cargo: </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eastAsia="Arial" w:cs="Arial"/>
          <w:sz w:val="19"/>
          <w:szCs w:val="19"/>
          <w:u w:val="none"/>
          <w:lang w:val="pt-BR" w:eastAsia="en-US" w:bidi="ar-SA"/>
        </w:rPr>
      </w:pPr>
      <w:r>
        <w:rPr>
          <w:rFonts w:eastAsia="Arial" w:cs="Arial"/>
          <w:sz w:val="19"/>
          <w:szCs w:val="19"/>
          <w:u w:val="none"/>
          <w:lang w:val="pt-BR" w:eastAsia="en-US" w:bidi="ar-SA"/>
        </w:rPr>
        <w:t xml:space="preserve">CPF: </w:t>
        <w:tab/>
      </w:r>
    </w:p>
    <w:p>
      <w:pPr>
        <w:pStyle w:val="Normal"/>
        <w:widowControl w:val="false"/>
        <w:tabs>
          <w:tab w:val="clear" w:pos="708"/>
          <w:tab w:val="left" w:pos="8637" w:leader="none"/>
        </w:tabs>
        <w:spacing w:lineRule="auto" w:line="240" w:before="0" w:after="0"/>
        <w:ind w:left="0" w:right="0" w:hanging="0"/>
        <w:rPr>
          <w:rFonts w:ascii="Arial" w:hAnsi="Arial" w:cs="Arial"/>
          <w:b/>
          <w:b/>
          <w:bCs/>
          <w:color w:val="5B5B5F"/>
          <w:sz w:val="26"/>
          <w:szCs w:val="26"/>
        </w:rPr>
      </w:pPr>
      <w:r>
        <w:rPr>
          <w:rFonts w:eastAsia="Arial" w:cs="Arial"/>
          <w:i w:val="false"/>
          <w:iCs w:val="false"/>
          <w:color w:val="000000"/>
          <w:sz w:val="19"/>
          <w:szCs w:val="19"/>
          <w:u w:val="none"/>
          <w:shd w:fill="FFFFFF" w:val="clear"/>
          <w:lang w:val="pt-BR" w:eastAsia="en-US" w:bidi="ar-SA"/>
        </w:rPr>
        <w:t xml:space="preserve">Assinatura: </w:t>
      </w:r>
      <w:r>
        <w:rPr>
          <w:rFonts w:eastAsia="Arial" w:cs="Arial"/>
          <w:i w:val="false"/>
          <w:iCs w:val="false"/>
          <w:color w:val="000000"/>
          <w:sz w:val="19"/>
          <w:szCs w:val="19"/>
          <w:u w:val="single"/>
          <w:shd w:fill="FFFFFF" w:val="clear"/>
          <w:lang w:val="pt-BR" w:eastAsia="en-US" w:bidi="ar-SA"/>
        </w:rPr>
        <w:t xml:space="preserve"> </w:t>
        <w:tab/>
      </w:r>
    </w:p>
    <w:p>
      <w:pPr>
        <w:pStyle w:val="Normal"/>
        <w:widowControl w:val="false"/>
        <w:spacing w:lineRule="auto" w:line="240" w:before="0" w:after="0"/>
        <w:ind w:left="0" w:right="0" w:hanging="0"/>
        <w:rPr>
          <w:rFonts w:ascii="Arial" w:hAnsi="Arial" w:eastAsia="Arial" w:cs="Arial"/>
          <w:sz w:val="19"/>
          <w:szCs w:val="19"/>
          <w:lang w:val="pt-BR" w:eastAsia="en-US" w:bidi="ar-SA"/>
        </w:rPr>
      </w:pPr>
      <w:r>
        <w:rPr>
          <w:rFonts w:eastAsia="Arial" w:cs="Arial"/>
          <w:sz w:val="19"/>
          <w:szCs w:val="19"/>
          <w:lang w:val="pt-BR" w:eastAsia="en-US" w:bidi="ar-SA"/>
        </w:rPr>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cs="Arial"/>
          <w:b/>
          <w:b/>
          <w:bCs/>
          <w:color w:val="5B5B5F"/>
          <w:sz w:val="26"/>
          <w:szCs w:val="26"/>
        </w:rPr>
      </w:pPr>
      <w:r>
        <w:rPr>
          <w:rFonts w:eastAsia="Arial" w:cs="Arial"/>
          <w:sz w:val="19"/>
          <w:szCs w:val="19"/>
          <w:lang w:val="pt-BR" w:eastAsia="en-US" w:bidi="ar-SA"/>
        </w:rPr>
        <w:t>Tipo de ato sob</w:t>
      </w:r>
      <w:r>
        <w:rPr>
          <w:rFonts w:eastAsia="Arial" w:cs="Arial"/>
          <w:spacing w:val="-11"/>
          <w:sz w:val="19"/>
          <w:szCs w:val="19"/>
          <w:lang w:val="pt-BR" w:eastAsia="en-US" w:bidi="ar-SA"/>
        </w:rPr>
        <w:t xml:space="preserve"> </w:t>
      </w:r>
      <w:r>
        <w:rPr>
          <w:rFonts w:eastAsia="Arial" w:cs="Arial"/>
          <w:sz w:val="19"/>
          <w:szCs w:val="19"/>
          <w:lang w:val="pt-BR" w:eastAsia="en-US" w:bidi="ar-SA"/>
        </w:rPr>
        <w:t>sua</w:t>
      </w:r>
      <w:r>
        <w:rPr>
          <w:rFonts w:eastAsia="Arial" w:cs="Arial"/>
          <w:spacing w:val="-3"/>
          <w:sz w:val="19"/>
          <w:szCs w:val="19"/>
          <w:lang w:val="pt-BR" w:eastAsia="en-US" w:bidi="ar-SA"/>
        </w:rPr>
        <w:t xml:space="preserve"> </w:t>
      </w:r>
      <w:r>
        <w:rPr>
          <w:rFonts w:eastAsia="Arial" w:cs="Arial"/>
          <w:sz w:val="19"/>
          <w:szCs w:val="19"/>
          <w:lang w:val="pt-BR" w:eastAsia="en-US" w:bidi="ar-SA"/>
        </w:rPr>
        <w:t>responsabilidade:</w:t>
      </w:r>
      <w:r>
        <w:rPr>
          <w:rFonts w:eastAsia="Arial" w:cs="Arial"/>
          <w:spacing w:val="-2"/>
          <w:sz w:val="19"/>
          <w:szCs w:val="19"/>
          <w:lang w:val="pt-BR" w:eastAsia="en-US" w:bidi="ar-SA"/>
        </w:rPr>
        <w:t xml:space="preserve"> </w:t>
      </w:r>
      <w:r>
        <w:rPr>
          <w:rFonts w:eastAsia="Arial" w:cs="Arial"/>
          <w:b/>
          <w:bCs/>
          <w:spacing w:val="-2"/>
          <w:sz w:val="19"/>
          <w:szCs w:val="19"/>
          <w:lang w:val="pt-BR" w:eastAsia="en-US" w:bidi="ar-SA"/>
        </w:rPr>
        <w:t>Processo Licitatório</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eastAsia="Arial" w:cs="Arial"/>
          <w:sz w:val="19"/>
          <w:szCs w:val="19"/>
          <w:lang w:val="pt-BR" w:eastAsia="en-US" w:bidi="ar-SA"/>
        </w:rPr>
      </w:pPr>
      <w:r>
        <w:rPr>
          <w:rFonts w:eastAsia="Arial" w:cs="Arial"/>
          <w:sz w:val="19"/>
          <w:szCs w:val="19"/>
          <w:lang w:val="pt-BR" w:eastAsia="en-US" w:bidi="ar-SA"/>
        </w:rPr>
        <w:t>Nome: Ricardo Cordeiro Custódio</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eastAsia="Arial" w:cs="Arial"/>
          <w:sz w:val="19"/>
          <w:szCs w:val="19"/>
          <w:lang w:val="pt-BR" w:eastAsia="en-US" w:bidi="ar-SA"/>
        </w:rPr>
      </w:pPr>
      <w:r>
        <w:rPr>
          <w:rFonts w:eastAsia="Arial" w:cs="Arial"/>
          <w:sz w:val="19"/>
          <w:szCs w:val="19"/>
          <w:lang w:val="pt-BR" w:eastAsia="en-US" w:bidi="ar-SA"/>
        </w:rPr>
        <w:t>Cargo: Assessor de Gabinete</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cs="Arial"/>
          <w:b/>
          <w:b/>
          <w:bCs/>
          <w:color w:val="5B5B5F"/>
          <w:sz w:val="26"/>
          <w:szCs w:val="26"/>
        </w:rPr>
      </w:pPr>
      <w:r>
        <w:rPr>
          <w:rFonts w:eastAsia="Arial" w:cs="Arial"/>
          <w:sz w:val="19"/>
          <w:szCs w:val="19"/>
          <w:lang w:val="pt-BR" w:eastAsia="en-US" w:bidi="ar-SA"/>
        </w:rPr>
        <w:t xml:space="preserve">CPF: </w:t>
      </w:r>
      <w:r>
        <w:rPr>
          <w:rFonts w:eastAsia="Arial" w:cs="Arial"/>
          <w:sz w:val="19"/>
          <w:szCs w:val="19"/>
          <w:u w:val="none"/>
          <w:lang w:val="pt-BR" w:eastAsia="en-US" w:bidi="ar-SA"/>
        </w:rPr>
        <w:t>294.133.848-94</w:t>
      </w:r>
    </w:p>
    <w:p>
      <w:pPr>
        <w:pStyle w:val="Normal"/>
        <w:widowControl w:val="false"/>
        <w:tabs>
          <w:tab w:val="clear" w:pos="708"/>
          <w:tab w:val="left" w:pos="8637" w:leader="none"/>
        </w:tabs>
        <w:spacing w:lineRule="auto" w:line="240" w:before="0" w:after="0"/>
        <w:ind w:left="0" w:right="0" w:hanging="0"/>
        <w:rPr>
          <w:rFonts w:ascii="Arial" w:hAnsi="Arial" w:cs="Arial"/>
          <w:b/>
          <w:b/>
          <w:bCs/>
          <w:color w:val="5B5B5F"/>
          <w:sz w:val="26"/>
          <w:szCs w:val="26"/>
        </w:rPr>
      </w:pPr>
      <w:r>
        <w:rPr>
          <w:rFonts w:eastAsia="Arial" w:cs="Arial"/>
          <w:i w:val="false"/>
          <w:iCs w:val="false"/>
          <w:color w:val="000000"/>
          <w:sz w:val="19"/>
          <w:szCs w:val="19"/>
          <w:u w:val="none"/>
          <w:shd w:fill="FFFFFF" w:val="clear"/>
          <w:lang w:val="pt-BR" w:eastAsia="en-US" w:bidi="ar-SA"/>
        </w:rPr>
        <w:t xml:space="preserve">Assinatura: </w:t>
      </w:r>
      <w:r>
        <w:rPr>
          <w:rFonts w:eastAsia="Arial" w:cs="Arial"/>
          <w:i w:val="false"/>
          <w:iCs w:val="false"/>
          <w:color w:val="000000"/>
          <w:sz w:val="19"/>
          <w:szCs w:val="19"/>
          <w:u w:val="single"/>
          <w:shd w:fill="FFFFFF" w:val="clear"/>
          <w:lang w:val="pt-BR" w:eastAsia="en-US" w:bidi="ar-SA"/>
        </w:rPr>
        <w:t xml:space="preserve"> </w:t>
        <w:tab/>
      </w:r>
    </w:p>
    <w:p>
      <w:pPr>
        <w:pStyle w:val="Normal"/>
        <w:widowControl w:val="false"/>
        <w:tabs>
          <w:tab w:val="clear" w:pos="708"/>
          <w:tab w:val="left" w:pos="5490" w:leader="none"/>
        </w:tabs>
        <w:spacing w:lineRule="auto" w:line="240" w:before="0" w:after="0"/>
        <w:ind w:left="0" w:right="0" w:hanging="0"/>
        <w:jc w:val="both"/>
        <w:rPr>
          <w:rFonts w:ascii="Arial" w:hAnsi="Arial"/>
          <w:sz w:val="19"/>
          <w:szCs w:val="19"/>
          <w:u w:val="single"/>
          <w:lang w:val="pt-BR" w:eastAsia="en-US" w:bidi="ar-SA"/>
        </w:rPr>
      </w:pPr>
      <w:r>
        <w:rPr>
          <w:sz w:val="19"/>
          <w:szCs w:val="19"/>
          <w:u w:val="single"/>
          <w:lang w:val="pt-BR" w:eastAsia="en-US" w:bidi="ar-SA"/>
        </w:rPr>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cs="Arial"/>
          <w:b/>
          <w:b/>
          <w:bCs/>
          <w:color w:val="5B5B5F"/>
          <w:sz w:val="26"/>
          <w:szCs w:val="26"/>
        </w:rPr>
      </w:pPr>
      <w:r>
        <w:rPr>
          <w:rFonts w:eastAsia="Arial" w:cs="Arial"/>
          <w:sz w:val="19"/>
          <w:szCs w:val="19"/>
          <w:lang w:val="pt-BR" w:eastAsia="en-US" w:bidi="ar-SA"/>
        </w:rPr>
        <w:t>Tipo de ato sob</w:t>
      </w:r>
      <w:r>
        <w:rPr>
          <w:rFonts w:eastAsia="Arial" w:cs="Arial"/>
          <w:spacing w:val="-11"/>
          <w:sz w:val="19"/>
          <w:szCs w:val="19"/>
          <w:lang w:val="pt-BR" w:eastAsia="en-US" w:bidi="ar-SA"/>
        </w:rPr>
        <w:t xml:space="preserve"> </w:t>
      </w:r>
      <w:r>
        <w:rPr>
          <w:rFonts w:eastAsia="Arial" w:cs="Arial"/>
          <w:sz w:val="19"/>
          <w:szCs w:val="19"/>
          <w:lang w:val="pt-BR" w:eastAsia="en-US" w:bidi="ar-SA"/>
        </w:rPr>
        <w:t>sua</w:t>
      </w:r>
      <w:r>
        <w:rPr>
          <w:rFonts w:eastAsia="Arial" w:cs="Arial"/>
          <w:spacing w:val="-3"/>
          <w:sz w:val="19"/>
          <w:szCs w:val="19"/>
          <w:lang w:val="pt-BR" w:eastAsia="en-US" w:bidi="ar-SA"/>
        </w:rPr>
        <w:t xml:space="preserve"> </w:t>
      </w:r>
      <w:r>
        <w:rPr>
          <w:rFonts w:eastAsia="Arial" w:cs="Arial"/>
          <w:sz w:val="19"/>
          <w:szCs w:val="19"/>
          <w:lang w:val="pt-BR" w:eastAsia="en-US" w:bidi="ar-SA"/>
        </w:rPr>
        <w:t>responsabilidade:</w:t>
      </w:r>
      <w:r>
        <w:rPr>
          <w:rFonts w:eastAsia="Arial" w:cs="Arial"/>
          <w:spacing w:val="-2"/>
          <w:sz w:val="19"/>
          <w:szCs w:val="19"/>
          <w:lang w:val="pt-BR" w:eastAsia="en-US" w:bidi="ar-SA"/>
        </w:rPr>
        <w:t xml:space="preserve"> </w:t>
      </w:r>
      <w:r>
        <w:rPr>
          <w:rFonts w:eastAsia="Arial" w:cs="Arial"/>
          <w:b/>
          <w:bCs/>
          <w:spacing w:val="-2"/>
          <w:sz w:val="19"/>
          <w:szCs w:val="19"/>
          <w:lang w:val="pt-BR" w:eastAsia="en-US" w:bidi="ar-SA"/>
        </w:rPr>
        <w:t>Prestação de Contas</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eastAsia="Arial" w:cs="Arial"/>
          <w:sz w:val="19"/>
          <w:szCs w:val="19"/>
          <w:lang w:val="pt-BR" w:eastAsia="en-US" w:bidi="ar-SA"/>
        </w:rPr>
      </w:pPr>
      <w:r>
        <w:rPr>
          <w:rFonts w:eastAsia="Arial" w:cs="Arial"/>
          <w:sz w:val="19"/>
          <w:szCs w:val="19"/>
          <w:lang w:val="pt-BR" w:eastAsia="en-US" w:bidi="ar-SA"/>
        </w:rPr>
        <w:t>Nome: Tatiani dos Santos Correa</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eastAsia="Arial" w:cs="Arial"/>
          <w:sz w:val="19"/>
          <w:szCs w:val="19"/>
          <w:lang w:val="pt-BR" w:eastAsia="en-US" w:bidi="ar-SA"/>
        </w:rPr>
      </w:pPr>
      <w:r>
        <w:rPr>
          <w:rFonts w:eastAsia="Arial" w:cs="Arial"/>
          <w:sz w:val="19"/>
          <w:szCs w:val="19"/>
          <w:lang w:val="pt-BR" w:eastAsia="en-US" w:bidi="ar-SA"/>
        </w:rPr>
        <w:t>Cargo: Diretora do Departamento de Planejamento</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eastAsia="Arial" w:cs="Arial"/>
          <w:sz w:val="19"/>
          <w:szCs w:val="19"/>
          <w:lang w:val="pt-BR" w:eastAsia="en-US" w:bidi="ar-SA"/>
        </w:rPr>
      </w:pPr>
      <w:r>
        <w:rPr>
          <w:rFonts w:eastAsia="Arial" w:cs="Arial"/>
          <w:sz w:val="19"/>
          <w:szCs w:val="19"/>
          <w:lang w:val="pt-BR" w:eastAsia="en-US" w:bidi="ar-SA"/>
        </w:rPr>
        <w:t>CPF: 340.773.848-00</w:t>
      </w:r>
    </w:p>
    <w:p>
      <w:pPr>
        <w:pStyle w:val="Normal"/>
        <w:widowControl w:val="false"/>
        <w:tabs>
          <w:tab w:val="clear" w:pos="708"/>
          <w:tab w:val="left" w:pos="8637" w:leader="none"/>
        </w:tabs>
        <w:spacing w:lineRule="auto" w:line="240" w:before="0" w:after="0"/>
        <w:ind w:left="0" w:right="0" w:hanging="0"/>
        <w:rPr>
          <w:rFonts w:ascii="Arial" w:hAnsi="Arial" w:cs="Arial"/>
          <w:b/>
          <w:b/>
          <w:bCs/>
          <w:color w:val="5B5B5F"/>
          <w:sz w:val="26"/>
          <w:szCs w:val="26"/>
        </w:rPr>
      </w:pPr>
      <w:r>
        <w:rPr>
          <w:rFonts w:eastAsia="Arial" w:cs="Arial"/>
          <w:i w:val="false"/>
          <w:iCs w:val="false"/>
          <w:color w:val="000000"/>
          <w:sz w:val="19"/>
          <w:szCs w:val="19"/>
          <w:u w:val="none"/>
          <w:shd w:fill="FFFFFF" w:val="clear"/>
          <w:lang w:val="pt-BR" w:eastAsia="en-US" w:bidi="ar-SA"/>
        </w:rPr>
        <w:t xml:space="preserve">Assinatura: </w:t>
      </w:r>
      <w:r>
        <w:rPr>
          <w:rFonts w:eastAsia="Arial" w:cs="Arial"/>
          <w:i w:val="false"/>
          <w:iCs w:val="false"/>
          <w:color w:val="000000"/>
          <w:sz w:val="19"/>
          <w:szCs w:val="19"/>
          <w:u w:val="single"/>
          <w:shd w:fill="FFFFFF" w:val="clear"/>
          <w:lang w:val="pt-BR" w:eastAsia="en-US" w:bidi="ar-SA"/>
        </w:rPr>
        <w:t xml:space="preserve"> </w:t>
        <w:tab/>
      </w:r>
    </w:p>
    <w:p>
      <w:pPr>
        <w:pStyle w:val="Normal"/>
        <w:widowControl w:val="false"/>
        <w:tabs>
          <w:tab w:val="clear" w:pos="708"/>
          <w:tab w:val="left" w:pos="5490" w:leader="none"/>
        </w:tabs>
        <w:spacing w:lineRule="auto" w:line="240" w:before="0" w:after="0"/>
        <w:ind w:left="0" w:right="0" w:hanging="0"/>
        <w:jc w:val="both"/>
        <w:rPr>
          <w:rFonts w:ascii="Arial" w:hAnsi="Arial"/>
          <w:sz w:val="19"/>
          <w:szCs w:val="19"/>
          <w:u w:val="single"/>
          <w:lang w:val="pt-BR" w:eastAsia="en-US" w:bidi="ar-SA"/>
        </w:rPr>
      </w:pPr>
      <w:r>
        <w:rPr>
          <w:sz w:val="19"/>
          <w:szCs w:val="19"/>
          <w:u w:val="single"/>
          <w:lang w:val="pt-BR" w:eastAsia="en-US" w:bidi="ar-SA"/>
        </w:rPr>
      </w:r>
    </w:p>
    <w:p>
      <w:pPr>
        <w:pStyle w:val="Normal"/>
        <w:widowControl w:val="false"/>
        <w:tabs>
          <w:tab w:val="clear" w:pos="708"/>
          <w:tab w:val="left" w:pos="5490" w:leader="none"/>
        </w:tabs>
        <w:spacing w:lineRule="auto" w:line="240" w:before="0" w:after="0"/>
        <w:ind w:left="0" w:right="0" w:hanging="0"/>
        <w:jc w:val="both"/>
        <w:rPr>
          <w:rFonts w:ascii="Arial" w:hAnsi="Arial"/>
          <w:sz w:val="19"/>
          <w:szCs w:val="19"/>
          <w:u w:val="single"/>
          <w:lang w:val="pt-BR" w:eastAsia="en-US" w:bidi="ar-SA"/>
        </w:rPr>
      </w:pPr>
      <w:r>
        <w:rPr>
          <w:sz w:val="19"/>
          <w:szCs w:val="19"/>
          <w:u w:val="single"/>
          <w:lang w:val="pt-BR" w:eastAsia="en-US" w:bidi="ar-SA"/>
        </w:rPr>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cs="Arial"/>
          <w:b/>
          <w:b/>
          <w:bCs/>
          <w:color w:val="5B5B5F"/>
          <w:sz w:val="26"/>
          <w:szCs w:val="26"/>
        </w:rPr>
      </w:pPr>
      <w:r>
        <w:rPr>
          <w:rFonts w:eastAsia="Arial" w:cs="Arial"/>
          <w:sz w:val="19"/>
          <w:szCs w:val="19"/>
          <w:lang w:val="pt-BR" w:eastAsia="en-US" w:bidi="ar-SA"/>
        </w:rPr>
        <w:t>Tipo de ato sob</w:t>
      </w:r>
      <w:r>
        <w:rPr>
          <w:rFonts w:eastAsia="Arial" w:cs="Arial"/>
          <w:spacing w:val="-11"/>
          <w:sz w:val="19"/>
          <w:szCs w:val="19"/>
          <w:lang w:val="pt-BR" w:eastAsia="en-US" w:bidi="ar-SA"/>
        </w:rPr>
        <w:t xml:space="preserve"> </w:t>
      </w:r>
      <w:r>
        <w:rPr>
          <w:rFonts w:eastAsia="Arial" w:cs="Arial"/>
          <w:sz w:val="19"/>
          <w:szCs w:val="19"/>
          <w:lang w:val="pt-BR" w:eastAsia="en-US" w:bidi="ar-SA"/>
        </w:rPr>
        <w:t>sua</w:t>
      </w:r>
      <w:r>
        <w:rPr>
          <w:rFonts w:eastAsia="Arial" w:cs="Arial"/>
          <w:spacing w:val="-3"/>
          <w:sz w:val="19"/>
          <w:szCs w:val="19"/>
          <w:lang w:val="pt-BR" w:eastAsia="en-US" w:bidi="ar-SA"/>
        </w:rPr>
        <w:t xml:space="preserve"> </w:t>
      </w:r>
      <w:r>
        <w:rPr>
          <w:rFonts w:eastAsia="Arial" w:cs="Arial"/>
          <w:sz w:val="19"/>
          <w:szCs w:val="19"/>
          <w:lang w:val="pt-BR" w:eastAsia="en-US" w:bidi="ar-SA"/>
        </w:rPr>
        <w:t>responsabilidade:</w:t>
      </w:r>
      <w:r>
        <w:rPr>
          <w:rFonts w:eastAsia="Arial" w:cs="Arial"/>
          <w:spacing w:val="-2"/>
          <w:sz w:val="19"/>
          <w:szCs w:val="19"/>
          <w:lang w:val="pt-BR" w:eastAsia="en-US" w:bidi="ar-SA"/>
        </w:rPr>
        <w:t xml:space="preserve"> </w:t>
      </w:r>
      <w:r>
        <w:rPr>
          <w:rFonts w:eastAsia="Arial" w:cs="Arial"/>
          <w:b/>
          <w:bCs/>
          <w:spacing w:val="-2"/>
          <w:sz w:val="19"/>
          <w:szCs w:val="19"/>
          <w:lang w:val="pt-BR" w:eastAsia="en-US" w:bidi="ar-SA"/>
        </w:rPr>
        <w:t>Parecer Jurídico</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eastAsia="Arial" w:cs="Arial"/>
          <w:sz w:val="19"/>
          <w:szCs w:val="19"/>
          <w:lang w:val="pt-BR" w:eastAsia="en-US" w:bidi="ar-SA"/>
        </w:rPr>
      </w:pPr>
      <w:r>
        <w:rPr>
          <w:rFonts w:eastAsia="Arial" w:cs="Arial"/>
          <w:sz w:val="19"/>
          <w:szCs w:val="19"/>
          <w:lang w:val="pt-BR" w:eastAsia="en-US" w:bidi="ar-SA"/>
        </w:rPr>
        <w:t>Nome: Marcelo Alessandro Berto</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eastAsia="Arial" w:cs="Arial"/>
          <w:sz w:val="19"/>
          <w:szCs w:val="19"/>
          <w:lang w:val="pt-BR" w:eastAsia="en-US" w:bidi="ar-SA"/>
        </w:rPr>
      </w:pPr>
      <w:r>
        <w:rPr>
          <w:rFonts w:eastAsia="Arial" w:cs="Arial"/>
          <w:sz w:val="19"/>
          <w:szCs w:val="19"/>
          <w:lang w:val="pt-BR" w:eastAsia="en-US" w:bidi="ar-SA"/>
        </w:rPr>
        <w:t>Cargo: Diretor do Departamento de Assuntos Jurídicos</w:t>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eastAsia="Arial" w:cs="Arial"/>
          <w:sz w:val="19"/>
          <w:szCs w:val="19"/>
          <w:lang w:val="pt-BR" w:eastAsia="en-US" w:bidi="ar-SA"/>
        </w:rPr>
      </w:pPr>
      <w:r>
        <w:rPr>
          <w:rFonts w:eastAsia="Arial" w:cs="Arial"/>
          <w:sz w:val="19"/>
          <w:szCs w:val="19"/>
          <w:lang w:val="pt-BR" w:eastAsia="en-US" w:bidi="ar-SA"/>
        </w:rPr>
        <w:t>CPF: 206.685.048-97</w:t>
      </w:r>
    </w:p>
    <w:p>
      <w:pPr>
        <w:pStyle w:val="Normal"/>
        <w:widowControl w:val="false"/>
        <w:tabs>
          <w:tab w:val="clear" w:pos="708"/>
          <w:tab w:val="left" w:pos="8637" w:leader="none"/>
        </w:tabs>
        <w:spacing w:lineRule="auto" w:line="240" w:before="0" w:after="0"/>
        <w:ind w:left="0" w:right="0" w:hanging="0"/>
        <w:rPr>
          <w:rFonts w:ascii="Arial" w:hAnsi="Arial" w:cs="Arial"/>
          <w:b/>
          <w:b/>
          <w:bCs/>
          <w:color w:val="5B5B5F"/>
          <w:sz w:val="26"/>
          <w:szCs w:val="26"/>
        </w:rPr>
      </w:pPr>
      <w:r>
        <w:rPr>
          <w:rFonts w:eastAsia="Arial" w:cs="Arial"/>
          <w:i w:val="false"/>
          <w:iCs w:val="false"/>
          <w:color w:val="000000"/>
          <w:sz w:val="19"/>
          <w:szCs w:val="19"/>
          <w:u w:val="none"/>
          <w:shd w:fill="FFFFFF" w:val="clear"/>
          <w:lang w:val="pt-BR" w:eastAsia="en-US" w:bidi="ar-SA"/>
        </w:rPr>
        <w:t xml:space="preserve">Assinatura: </w:t>
      </w:r>
      <w:r>
        <w:rPr>
          <w:rFonts w:eastAsia="Arial" w:cs="Arial"/>
          <w:i w:val="false"/>
          <w:iCs w:val="false"/>
          <w:color w:val="000000"/>
          <w:sz w:val="19"/>
          <w:szCs w:val="19"/>
          <w:u w:val="single"/>
          <w:shd w:fill="FFFFFF" w:val="clear"/>
          <w:lang w:val="pt-BR" w:eastAsia="en-US" w:bidi="ar-SA"/>
        </w:rPr>
        <w:t xml:space="preserve"> </w:t>
        <w:tab/>
      </w:r>
    </w:p>
    <w:p>
      <w:pPr>
        <w:pStyle w:val="Normal"/>
        <w:widowControl w:val="false"/>
        <w:tabs>
          <w:tab w:val="clear" w:pos="708"/>
          <w:tab w:val="left" w:pos="5490" w:leader="none"/>
        </w:tabs>
        <w:spacing w:lineRule="auto" w:line="240" w:before="0" w:after="0"/>
        <w:ind w:left="0" w:right="0" w:hanging="0"/>
        <w:jc w:val="both"/>
        <w:rPr>
          <w:rFonts w:ascii="Arial" w:hAnsi="Arial"/>
          <w:sz w:val="19"/>
          <w:szCs w:val="19"/>
          <w:u w:val="single"/>
          <w:lang w:val="pt-BR" w:eastAsia="en-US" w:bidi="ar-SA"/>
        </w:rPr>
      </w:pPr>
      <w:r>
        <w:rPr>
          <w:sz w:val="19"/>
          <w:szCs w:val="19"/>
          <w:u w:val="single"/>
          <w:lang w:val="pt-BR" w:eastAsia="en-US" w:bidi="ar-SA"/>
        </w:rPr>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cs="Arial"/>
          <w:b/>
          <w:b/>
          <w:bCs/>
          <w:color w:val="5B5B5F"/>
          <w:sz w:val="26"/>
          <w:szCs w:val="26"/>
        </w:rPr>
      </w:pPr>
      <w:r>
        <w:rPr>
          <w:rFonts w:eastAsia="Arial" w:cs="Arial"/>
          <w:sz w:val="19"/>
          <w:szCs w:val="19"/>
          <w:lang w:val="pt-BR" w:eastAsia="en-US" w:bidi="ar-SA"/>
        </w:rPr>
        <w:t>Tipo de ato sob</w:t>
      </w:r>
      <w:r>
        <w:rPr>
          <w:rFonts w:eastAsia="Arial" w:cs="Arial"/>
          <w:spacing w:val="-11"/>
          <w:sz w:val="19"/>
          <w:szCs w:val="19"/>
          <w:lang w:val="pt-BR" w:eastAsia="en-US" w:bidi="ar-SA"/>
        </w:rPr>
        <w:t xml:space="preserve"> </w:t>
      </w:r>
      <w:r>
        <w:rPr>
          <w:rFonts w:eastAsia="Arial" w:cs="Arial"/>
          <w:sz w:val="19"/>
          <w:szCs w:val="19"/>
          <w:lang w:val="pt-BR" w:eastAsia="en-US" w:bidi="ar-SA"/>
        </w:rPr>
        <w:t>sua</w:t>
      </w:r>
      <w:r>
        <w:rPr>
          <w:rFonts w:eastAsia="Arial" w:cs="Arial"/>
          <w:spacing w:val="-3"/>
          <w:sz w:val="19"/>
          <w:szCs w:val="19"/>
          <w:lang w:val="pt-BR" w:eastAsia="en-US" w:bidi="ar-SA"/>
        </w:rPr>
        <w:t xml:space="preserve"> </w:t>
      </w:r>
      <w:r>
        <w:rPr>
          <w:rFonts w:eastAsia="Arial" w:cs="Arial"/>
          <w:sz w:val="19"/>
          <w:szCs w:val="19"/>
          <w:lang w:val="pt-BR" w:eastAsia="en-US" w:bidi="ar-SA"/>
        </w:rPr>
        <w:t>responsabilidade:</w:t>
      </w:r>
      <w:r>
        <w:rPr>
          <w:rFonts w:eastAsia="Arial" w:cs="Arial"/>
          <w:spacing w:val="-2"/>
          <w:sz w:val="19"/>
          <w:szCs w:val="19"/>
          <w:lang w:val="pt-BR" w:eastAsia="en-US" w:bidi="ar-SA"/>
        </w:rPr>
        <w:t xml:space="preserve"> </w:t>
      </w:r>
      <w:r>
        <w:rPr>
          <w:rFonts w:eastAsia="Arial" w:cs="Arial"/>
          <w:b/>
          <w:bCs/>
          <w:i w:val="false"/>
          <w:iCs w:val="false"/>
          <w:spacing w:val="-2"/>
          <w:sz w:val="19"/>
          <w:szCs w:val="19"/>
          <w:lang w:val="pt-BR" w:eastAsia="en-US" w:bidi="ar-SA"/>
        </w:rPr>
        <w:t>atribuições previstas em atos legais ou administrativos e de interessados relacionados a processos de competência deste Tribunal</w:t>
      </w:r>
    </w:p>
    <w:p>
      <w:pPr>
        <w:pStyle w:val="Normal"/>
        <w:spacing w:lineRule="auto" w:line="240" w:before="0" w:after="0"/>
        <w:ind w:left="0" w:right="0" w:hanging="0"/>
        <w:jc w:val="both"/>
        <w:rPr>
          <w:rFonts w:ascii="Arial" w:hAnsi="Arial" w:cs="Arial"/>
          <w:b/>
          <w:b/>
          <w:bCs/>
          <w:color w:val="5B5B5F"/>
          <w:sz w:val="26"/>
          <w:szCs w:val="26"/>
        </w:rPr>
      </w:pPr>
      <w:r>
        <w:rPr>
          <w:rFonts w:cs="Arial"/>
          <w:sz w:val="19"/>
          <w:szCs w:val="19"/>
          <w:u w:val="none"/>
          <w:lang w:val="pt-BR" w:eastAsia="en-US" w:bidi="ar-SA"/>
        </w:rPr>
        <w:t xml:space="preserve">Nome: </w:t>
      </w:r>
      <w:r>
        <w:rPr>
          <w:rFonts w:cs="Arial"/>
          <w:color w:val="000000"/>
          <w:sz w:val="19"/>
          <w:szCs w:val="19"/>
          <w:u w:val="none"/>
          <w:lang w:val="pt-BR" w:eastAsia="en-US" w:bidi="ar-SA"/>
        </w:rPr>
        <w:t>Antonio Takashi Sasada</w:t>
      </w:r>
    </w:p>
    <w:p>
      <w:pPr>
        <w:pStyle w:val="Normal"/>
        <w:spacing w:lineRule="auto" w:line="240" w:before="0" w:after="0"/>
        <w:ind w:left="0" w:right="0" w:hanging="0"/>
        <w:jc w:val="both"/>
        <w:rPr>
          <w:rFonts w:ascii="Arial" w:hAnsi="Arial" w:cs="Arial"/>
          <w:b/>
          <w:b/>
          <w:bCs/>
          <w:color w:val="5B5B5F"/>
          <w:sz w:val="26"/>
          <w:szCs w:val="26"/>
        </w:rPr>
      </w:pPr>
      <w:r>
        <w:rPr>
          <w:rFonts w:cs="Arial"/>
          <w:sz w:val="19"/>
          <w:szCs w:val="19"/>
          <w:u w:val="none"/>
          <w:lang w:val="pt-BR" w:eastAsia="en-US" w:bidi="ar-SA"/>
        </w:rPr>
        <w:t xml:space="preserve">Cargo: </w:t>
      </w:r>
      <w:r>
        <w:rPr>
          <w:rFonts w:cs="Arial"/>
          <w:color w:val="000000"/>
          <w:sz w:val="19"/>
          <w:szCs w:val="19"/>
          <w:u w:val="none"/>
          <w:lang w:val="pt-BR" w:eastAsia="en-US" w:bidi="ar-SA"/>
        </w:rPr>
        <w:t>Prefeito Municipal</w:t>
      </w:r>
    </w:p>
    <w:p>
      <w:pPr>
        <w:pStyle w:val="Normal"/>
        <w:spacing w:lineRule="auto" w:line="240" w:before="0" w:after="0"/>
        <w:ind w:left="0" w:right="0" w:hanging="0"/>
        <w:jc w:val="both"/>
        <w:rPr>
          <w:rFonts w:ascii="Arial" w:hAnsi="Arial" w:eastAsia="Calibri" w:cs="Arial"/>
          <w:b w:val="false"/>
          <w:b w:val="false"/>
          <w:bCs w:val="false"/>
          <w:strike w:val="false"/>
          <w:dstrike w:val="false"/>
          <w:color w:val="000000"/>
          <w:sz w:val="19"/>
          <w:szCs w:val="19"/>
          <w:u w:val="none"/>
          <w:lang w:val="pt-BR" w:eastAsia="en-US" w:bidi="ar-SA"/>
        </w:rPr>
      </w:pPr>
      <w:r>
        <w:rPr>
          <w:rFonts w:eastAsia="Calibri" w:cs="Arial"/>
          <w:b w:val="false"/>
          <w:bCs w:val="false"/>
          <w:strike w:val="false"/>
          <w:dstrike w:val="false"/>
          <w:color w:val="000000"/>
          <w:sz w:val="19"/>
          <w:szCs w:val="19"/>
          <w:u w:val="none"/>
          <w:lang w:val="pt-BR" w:eastAsia="en-US" w:bidi="ar-SA"/>
        </w:rPr>
        <w:t>CPF: 099.786.208-42</w:t>
      </w:r>
    </w:p>
    <w:p>
      <w:pPr>
        <w:pStyle w:val="Normal"/>
        <w:widowControl w:val="false"/>
        <w:tabs>
          <w:tab w:val="clear" w:pos="708"/>
          <w:tab w:val="left" w:pos="8637" w:leader="none"/>
        </w:tabs>
        <w:spacing w:lineRule="auto" w:line="240" w:before="0" w:after="0"/>
        <w:ind w:left="0" w:right="0" w:hanging="0"/>
        <w:rPr>
          <w:rFonts w:ascii="Arial" w:hAnsi="Arial" w:cs="Arial"/>
          <w:b/>
          <w:b/>
          <w:bCs/>
          <w:color w:val="5B5B5F"/>
          <w:sz w:val="26"/>
          <w:szCs w:val="26"/>
        </w:rPr>
      </w:pPr>
      <w:r>
        <w:rPr>
          <w:rFonts w:eastAsia="Arial" w:cs="Arial"/>
          <w:i w:val="false"/>
          <w:iCs w:val="false"/>
          <w:color w:val="000000"/>
          <w:sz w:val="19"/>
          <w:szCs w:val="19"/>
          <w:u w:val="none"/>
          <w:shd w:fill="FFFFFF" w:val="clear"/>
          <w:lang w:val="pt-BR" w:eastAsia="en-US" w:bidi="ar-SA"/>
        </w:rPr>
        <w:t xml:space="preserve">Assinatura: </w:t>
      </w:r>
      <w:r>
        <w:rPr>
          <w:rFonts w:eastAsia="Arial" w:cs="Arial"/>
          <w:i w:val="false"/>
          <w:iCs w:val="false"/>
          <w:color w:val="000000"/>
          <w:sz w:val="19"/>
          <w:szCs w:val="19"/>
          <w:u w:val="single"/>
          <w:shd w:fill="FFFFFF" w:val="clear"/>
          <w:lang w:val="pt-BR" w:eastAsia="en-US" w:bidi="ar-SA"/>
        </w:rPr>
        <w:t xml:space="preserve"> </w:t>
        <w:tab/>
      </w:r>
    </w:p>
    <w:p>
      <w:pPr>
        <w:pStyle w:val="Normal"/>
        <w:widowControl w:val="false"/>
        <w:tabs>
          <w:tab w:val="clear" w:pos="708"/>
          <w:tab w:val="left" w:pos="4842" w:leader="none"/>
          <w:tab w:val="left" w:pos="8598" w:leader="none"/>
        </w:tabs>
        <w:spacing w:lineRule="auto" w:line="240" w:before="0" w:after="0"/>
        <w:ind w:left="0" w:right="0" w:hanging="0"/>
        <w:jc w:val="both"/>
        <w:rPr>
          <w:rFonts w:ascii="Arial" w:hAnsi="Arial" w:cs="Arial"/>
          <w:b/>
          <w:b/>
          <w:bCs/>
          <w:color w:val="5B5B5F"/>
          <w:sz w:val="26"/>
          <w:szCs w:val="26"/>
        </w:rPr>
      </w:pPr>
      <w:r>
        <w:rPr/>
        <w:t xml:space="preserve">  </w:t>
      </w:r>
    </w:p>
    <w:sectPr>
      <w:headerReference w:type="default" r:id="rId43"/>
      <w:footerReference w:type="default" r:id="rId44"/>
      <w:type w:val="nextPage"/>
      <w:pgSz w:w="11906" w:h="16838"/>
      <w:pgMar w:left="1160" w:right="1147" w:header="567" w:top="1276" w:footer="567" w:bottom="1276" w:gutter="0"/>
      <w:pgNumType w:fmt="decimal"/>
      <w:formProt w:val="false"/>
      <w:textDirection w:val="lrTb"/>
      <w:docGrid w:type="default" w:linePitch="360" w:charSpace="8192"/>
    </w:sectPr>
  </w:body>
</w:document>
</file>

<file path=word/comments.xml><?xml version="1.0" encoding="utf-8"?>
<w:comment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comment w:id="0"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Utilizar o </w:t>
      </w:r>
      <w:r>
        <w:rPr>
          <w:rFonts w:ascii="Liberation Serif" w:hAnsi="Liberation Serif" w:eastAsia="Segoe UI"/>
          <w:i/>
          <w:iCs/>
          <w:sz w:val="24"/>
          <w:lang w:val="en-US" w:eastAsia="en-US" w:bidi="en-US"/>
        </w:rPr>
        <w:t>dispositivo 2.5.1</w:t>
      </w:r>
      <w:r>
        <w:rPr>
          <w:rFonts w:ascii="Liberation Serif" w:hAnsi="Liberation Serif" w:eastAsia="Segoe UI"/>
          <w:i/>
          <w:iCs/>
          <w:color w:val="000000"/>
          <w:sz w:val="24"/>
          <w:lang w:val="en-US" w:eastAsia="en-US" w:bidi="en-US"/>
        </w:rPr>
        <w:t xml:space="preserve"> apenas se houver itens com participação exclusiva de Microempresas e Empresas de Pequeno Porte em razão do valor, </w:t>
      </w:r>
      <w:r>
        <w:fldChar w:fldCharType="begin"/>
      </w:r>
      <w:r>
        <w:instrText> HYPERLINK "https://www.planalto.gov.br/ccivil_03/leis/lcp/lcp123.htm" \l "art48"</w:instrText>
      </w:r>
      <w:r>
        <w:fldChar w:fldCharType="separate"/>
      </w:r>
      <w:r>
        <w:rPr>
          <w:rFonts w:ascii="Liberation Serif" w:hAnsi="Liberation Serif" w:eastAsia="Segoe UI"/>
          <w:i/>
          <w:iCs/>
          <w:color w:val="000000"/>
          <w:sz w:val="24"/>
          <w:lang w:val="en-US" w:eastAsia="en-US" w:bidi="en-US"/>
        </w:rPr>
        <w:t>conforme art. 48 da Lei Complementar nº 123, de 2006.</w:t>
      </w:r>
      <w:r>
        <w:fldChar w:fldCharType="end"/>
      </w:r>
    </w:p>
    <w:p>
      <w:r>
        <w:rPr>
          <w:rFonts w:ascii="Liberation Serif" w:hAnsi="Liberation Serif" w:eastAsia="Segoe UI"/>
          <w:i/>
          <w:iCs/>
          <w:sz w:val="24"/>
          <w:lang w:val="en-US" w:eastAsia="en-US" w:bidi="en-US"/>
        </w:rPr>
        <w:t xml:space="preserve">Nos termos do </w:t>
      </w:r>
      <w:r>
        <w:fldChar w:fldCharType="begin"/>
      </w:r>
      <w:r>
        <w:instrText> HYPERLINK "http://www.planalto.gov.br/ccivil_03/_ato2019-2022/2021/lei/L14133.htm" \l "art4§1"</w:instrText>
      </w:r>
      <w:r>
        <w:fldChar w:fldCharType="separate"/>
      </w:r>
      <w:r>
        <w:rPr>
          <w:rFonts w:ascii="Liberation Serif" w:hAnsi="Liberation Serif" w:eastAsia="Segoe UI"/>
          <w:i/>
          <w:iCs/>
          <w:sz w:val="24"/>
          <w:lang w:val="en-US" w:eastAsia="en-US" w:bidi="en-US"/>
        </w:rPr>
        <w:t>art. 4º, §1º, da Lei nº 14.133, de 2021</w:t>
      </w:r>
      <w:r>
        <w:fldChar w:fldCharType="end"/>
      </w:r>
      <w:r>
        <w:rPr>
          <w:rFonts w:ascii="Liberation Serif" w:hAnsi="Liberation Serif" w:eastAsia="Segoe UI"/>
          <w:i/>
          <w:iCs/>
          <w:sz w:val="24"/>
          <w:lang w:val="en-US" w:eastAsia="en-US" w:bidi="en-US"/>
        </w:rPr>
        <w:t>, não será aplicado esse tratamento diferenciado (I) no caso de licitação para aquisição de bens ou contratação de serviços em geral, ao item cujo valor estimado for superior à receita bruta máxima admitida para fins de enquadramento como empresa de pequeno porte; e (II) no caso de contratação de obras e serviços de engenharia, às licitações cujo valor estimado for superior à receita bruta máxima admitida para fins de enquadramento como empresa de pequeno porte.</w:t>
      </w:r>
    </w:p>
    <w:p>
      <w:r>
        <w:rPr>
          <w:rFonts w:ascii="Liberation Serif" w:hAnsi="Liberation Serif" w:eastAsia="Segoe UI"/>
          <w:i/>
          <w:iCs/>
          <w:sz w:val="24"/>
          <w:lang w:val="en-US" w:eastAsia="en-US" w:bidi="en-US"/>
        </w:rPr>
        <w:t>Nas contratações com prazo de vigência superior a 1 (um) ano, será considerado o valor anual do contrato na aplicação dos limites acima estabelecidos (</w:t>
      </w:r>
      <w:r>
        <w:fldChar w:fldCharType="begin"/>
      </w:r>
      <w:r>
        <w:instrText> HYPERLINK "http://www.planalto.gov.br/ccivil_03/_ato2019-2022/2021/lei/L14133.htm" \l "art4§3"</w:instrText>
      </w:r>
      <w:r>
        <w:fldChar w:fldCharType="separate"/>
      </w:r>
      <w:r>
        <w:rPr>
          <w:rFonts w:ascii="Liberation Serif" w:hAnsi="Liberation Serif" w:eastAsia="Segoe UI"/>
          <w:i/>
          <w:iCs/>
          <w:sz w:val="24"/>
          <w:lang w:val="en-US" w:eastAsia="en-US" w:bidi="en-US"/>
        </w:rPr>
        <w:t>art. 4º, §3º, da Lei nº 14.133/2021</w:t>
      </w:r>
      <w:r>
        <w:fldChar w:fldCharType="end"/>
      </w:r>
      <w:r>
        <w:rPr>
          <w:rFonts w:ascii="Liberation Serif" w:hAnsi="Liberation Serif" w:eastAsia="Segoe UI"/>
          <w:i/>
          <w:iCs/>
          <w:sz w:val="24"/>
          <w:lang w:val="en-US" w:eastAsia="en-US" w:bidi="en-US"/>
        </w:rPr>
        <w:t>).</w:t>
      </w:r>
    </w:p>
  </w:comment>
  <w:comment w:id="1" w:author="Autor" w:date="0-00-00T00:00:00Z" w:initials="A">
    <w:p>
      <w:r>
        <w:rPr>
          <w:rFonts w:ascii="Liberation Serif" w:hAnsi="Liberation Serif" w:eastAsia="Segoe UI"/>
          <w:sz w:val="24"/>
          <w:lang w:val="en-US" w:eastAsia="en-US" w:bidi="en-US"/>
        </w:rPr>
        <w:t>Nota explicativa: Conforme PARECER n. 00002/2023/DECOR/CGU/AGU, aprovado pelo DESPACHO DE APROVAÇÃO n. 00006/2023/SGPP/CGU/AGU, “...considera-se de difícil superação que as cooperativas, mesmo sob a lógica da nova lei, venham a participar de modo geral dos certames licitatórios para prestar serviços contínuos com regime de dedicação exclusiva de mão de obra, cujas características encontram-se bem delineadas no artigo 6º, XVI, da Lei nº 14.133/2021, ou seja, em que modelo de execução contratual exija entre outros requisitos, que</w:t>
      </w:r>
    </w:p>
    <w:p>
      <w:r>
        <w:rPr>
          <w:rFonts w:ascii="Liberation Serif" w:hAnsi="Liberation Serif" w:eastAsia="Segoe UI"/>
          <w:sz w:val="24"/>
          <w:lang w:val="en-US" w:eastAsia="en-US" w:bidi="en-US"/>
        </w:rPr>
        <w:t xml:space="preserve">    a) os empregados do contratado fiquem à disposição nas dependências do contratante para a prestação dos serviços;</w:t>
      </w:r>
    </w:p>
    <w:p>
      <w:r>
        <w:rPr>
          <w:rFonts w:ascii="Liberation Serif" w:hAnsi="Liberation Serif" w:eastAsia="Segoe UI"/>
          <w:sz w:val="24"/>
          <w:lang w:val="en-US" w:eastAsia="en-US" w:bidi="en-US"/>
        </w:rPr>
        <w:t xml:space="preserve">    b) o contratado não compartilhe os recursos humanos e materiais disponíveis de uma contratação para execução simultânea de outros contratos;</w:t>
      </w:r>
    </w:p>
    <w:p>
      <w:r>
        <w:rPr>
          <w:rFonts w:ascii="Liberation Serif" w:hAnsi="Liberation Serif" w:eastAsia="Segoe UI"/>
          <w:sz w:val="24"/>
          <w:lang w:val="en-US" w:eastAsia="en-US" w:bidi="en-US"/>
        </w:rPr>
        <w:t xml:space="preserve">    c) o contratado possibilite a fiscalização pelo contratante quanto à distribuição, controle e supervisão dos recursos humanos alocados aos seus contratos.</w:t>
      </w:r>
    </w:p>
    <w:p>
      <w:r>
        <w:rPr>
          <w:rFonts w:ascii="Liberation Serif" w:hAnsi="Liberation Serif" w:eastAsia="Segoe UI"/>
          <w:sz w:val="24"/>
          <w:lang w:val="en-US" w:eastAsia="en-US" w:bidi="en-US"/>
        </w:rPr>
        <w:t>Dessa forma, o art. 16 da Lei nº 14.133/2021 deve ser interpretado sistematicamente, de acordo com o arcabouço jurídico que envolve a matéria das Cooperativas, não tendo o condão de afastar a aplicabilidade do Termo de Conciliação firmado entre Ministério Público do Trabalho - MPT e a Advocacia Geral da União – AGU.”</w:t>
      </w:r>
    </w:p>
  </w:comment>
  <w:comment w:id="2"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A vedação de participação no processo licitatório de pessoas jurídicas reunidas em consórcio é exceção e essa opção deverá ser devidamente justificada pela Administração, nos termos do </w:t>
      </w:r>
      <w:r>
        <w:fldChar w:fldCharType="begin"/>
      </w:r>
      <w:r>
        <w:instrText> HYPERLINK "http://www.planalto.gov.br/ccivil_03/_ato2019-2022/2021/lei/L14133.htm" \l "art15"</w:instrText>
      </w:r>
      <w:r>
        <w:fldChar w:fldCharType="separate"/>
      </w:r>
      <w:r>
        <w:rPr>
          <w:rFonts w:ascii="Liberation Serif" w:hAnsi="Liberation Serif" w:eastAsia="Segoe UI"/>
          <w:i/>
          <w:iCs/>
          <w:color w:val="000000"/>
          <w:sz w:val="24"/>
          <w:lang w:val="en-US" w:eastAsia="en-US" w:bidi="en-US"/>
        </w:rPr>
        <w:t>art. 15, caput, da Lei nº 14.133, de 2021.</w:t>
      </w:r>
      <w:r>
        <w:fldChar w:fldCharType="end"/>
      </w:r>
    </w:p>
  </w:comment>
  <w:comment w:id="3" w:author="Autor" w:date="0-00-00T00:00:00Z" w:initials="A">
    <w:p>
      <w:r>
        <w:rPr>
          <w:rFonts w:ascii="Liberation Serif" w:hAnsi="Liberation Serif" w:eastAsia="Segoe UI"/>
          <w:sz w:val="24"/>
          <w:lang w:val="en-US" w:eastAsia="en-US" w:bidi="en-US"/>
        </w:rPr>
        <w:t xml:space="preserve">Nota explicativa: A fase de habilitação poderá, mediante ato motivado com explicitação dos benefícios decorrentes, anteceder as fases de apresentação de propostas e lances, nos termos do </w:t>
      </w:r>
      <w:r>
        <w:fldChar w:fldCharType="begin"/>
      </w:r>
      <w:r>
        <w:instrText> HYPERLINK "http://www.planalto.gov.br/ccivil_03/_ato2019-2022/2021/lei/L14133.htm" \l "art17§1"</w:instrText>
      </w:r>
      <w:r>
        <w:fldChar w:fldCharType="separate"/>
      </w:r>
      <w:r>
        <w:rPr>
          <w:rFonts w:ascii="Liberation Serif" w:hAnsi="Liberation Serif" w:eastAsia="Segoe UI"/>
          <w:sz w:val="24"/>
          <w:lang w:val="en-US" w:eastAsia="en-US" w:bidi="en-US"/>
        </w:rPr>
        <w:t>art. 17, §1º, da Lei nº 14.133, de 2021</w:t>
      </w:r>
      <w:r>
        <w:fldChar w:fldCharType="end"/>
      </w:r>
      <w:r>
        <w:rPr>
          <w:rFonts w:ascii="Liberation Serif" w:hAnsi="Liberation Serif" w:eastAsia="Segoe UI"/>
          <w:sz w:val="24"/>
          <w:lang w:val="en-US" w:eastAsia="en-US" w:bidi="en-US"/>
        </w:rPr>
        <w:t xml:space="preserve">. No entanto, tal funcionalidade não está disponível ainda no sistema. Após a disponibilização e sendo essa a opção do órgão, utilizar a seguinte redação: </w:t>
      </w:r>
    </w:p>
    <w:p>
      <w:r>
        <w:rPr>
          <w:rFonts w:ascii="Liberation Serif" w:hAnsi="Liberation Serif" w:eastAsia="Segoe UI"/>
          <w:sz w:val="24"/>
          <w:lang w:val="en-US" w:eastAsia="en-US" w:bidi="en-US"/>
        </w:rPr>
        <w:t>3.1.Na presente licitação, a fase de habilitação antecederá a fase de apresentação de propostas e lances.</w:t>
      </w:r>
    </w:p>
  </w:comment>
  <w:comment w:id="4"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O </w:t>
      </w:r>
      <w:r>
        <w:fldChar w:fldCharType="begin"/>
      </w:r>
      <w:r>
        <w:instrText> HYPERLINK "https://www.gov.br/compras/pt-br/acesso-a-informacao/legislacao/instrucoes-normativas/instrucao-normativa-seges-me-no-73-de-30-de-setembro-de-2022" \l "art19"</w:instrText>
      </w:r>
      <w:r>
        <w:fldChar w:fldCharType="separate"/>
      </w:r>
      <w:r>
        <w:rPr>
          <w:rFonts w:ascii="Liberation Serif" w:hAnsi="Liberation Serif" w:eastAsia="Segoe UI"/>
          <w:i/>
          <w:iCs/>
          <w:color w:val="000000"/>
          <w:sz w:val="24"/>
          <w:lang w:val="en-US" w:eastAsia="en-US" w:bidi="en-US"/>
        </w:rPr>
        <w:t>artigo 19 da Instrução Normativa SEGES nº 73, de 30 de setembro de 2022</w:t>
      </w:r>
      <w:r>
        <w:fldChar w:fldCharType="end"/>
      </w:r>
      <w:r>
        <w:rPr>
          <w:rFonts w:ascii="Liberation Serif" w:hAnsi="Liberation Serif" w:eastAsia="Segoe UI"/>
          <w:i/>
          <w:iCs/>
          <w:sz w:val="24"/>
          <w:lang w:val="en-US" w:eastAsia="en-US" w:bidi="en-US"/>
        </w:rPr>
        <w:t xml:space="preserve">, </w:t>
      </w:r>
      <w:r>
        <w:rPr>
          <w:rFonts w:ascii="Liberation Serif" w:hAnsi="Liberation Serif" w:eastAsia="Segoe UI"/>
          <w:i/>
          <w:iCs/>
          <w:color w:val="000000"/>
          <w:sz w:val="24"/>
          <w:lang w:val="en-US" w:eastAsia="en-US" w:bidi="en-US"/>
        </w:rPr>
        <w:t>admite que o licitante utilize do sistema oficial para estabelecer previamente seus lances, inclusive o lance mínimo ou o maior percentual de desconto, de modo que o sistema automaticamente receba os lances sem a necessidade de inserção manual a cada lance. A utilização desse instrumento é uma faculdade oferecida ao licitante.</w:t>
      </w:r>
    </w:p>
  </w:comment>
  <w:comment w:id="5"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A cláusula 3.12.2 também é oriunda da </w:t>
      </w:r>
      <w:r>
        <w:fldChar w:fldCharType="begin"/>
      </w:r>
      <w:r>
        <w:instrText> HYPERLINK "https://www.gov.br/compras/pt-br/acesso-a-informacao/legislacao/instrucoes-normativas/instrucao-normativa-seges-me-no-73-de-30-de-setembro-de-2022" \l "art19§1"</w:instrText>
      </w:r>
      <w:r>
        <w:fldChar w:fldCharType="separate"/>
      </w:r>
      <w:r>
        <w:rPr>
          <w:rFonts w:ascii="Liberation Serif" w:hAnsi="Liberation Serif" w:eastAsia="Segoe UI"/>
          <w:i/>
          <w:iCs/>
          <w:color w:val="000000"/>
          <w:sz w:val="24"/>
          <w:lang w:val="en-US" w:eastAsia="en-US" w:bidi="en-US"/>
        </w:rPr>
        <w:t>Instrução Normativa SEGES nº 73, de 30 de setembro de 2022 (art. 19, § 1º</w:t>
      </w:r>
      <w:r>
        <w:fldChar w:fldCharType="end"/>
      </w:r>
      <w:r>
        <w:rPr>
          <w:rFonts w:ascii="Liberation Serif" w:hAnsi="Liberation Serif" w:eastAsia="Segoe UI"/>
          <w:i/>
          <w:iCs/>
          <w:color w:val="000000"/>
          <w:sz w:val="24"/>
          <w:lang w:val="en-US" w:eastAsia="en-US" w:bidi="en-US"/>
        </w:rPr>
        <w:t>).</w:t>
      </w:r>
    </w:p>
  </w:comment>
  <w:comment w:id="6" w:author="Autor" w:date="0-00-00T00:00:00Z" w:initials="A">
    <w:p>
      <w:r>
        <w:rPr>
          <w:rFonts w:ascii="Liberation Serif" w:hAnsi="Liberation Serif" w:eastAsia="Segoe UI"/>
          <w:b/>
          <w:bCs/>
          <w:i/>
          <w:iCs/>
          <w:sz w:val="24"/>
          <w:lang w:val="en-US" w:eastAsia="en-US" w:bidi="en-US"/>
        </w:rPr>
        <w:t>Nota explicativa</w:t>
      </w:r>
      <w:r>
        <w:rPr>
          <w:rFonts w:ascii="Liberation Serif" w:hAnsi="Liberation Serif" w:eastAsia="Segoe UI"/>
          <w:i/>
          <w:iCs/>
          <w:sz w:val="24"/>
          <w:lang w:val="en-US" w:eastAsia="en-US" w:bidi="en-US"/>
        </w:rPr>
        <w:t xml:space="preserve">: </w:t>
      </w:r>
      <w:r>
        <w:rPr>
          <w:rFonts w:ascii="Liberation Serif" w:hAnsi="Liberation Serif" w:eastAsia="Segoe UI"/>
          <w:sz w:val="24"/>
          <w:lang w:val="en-US" w:eastAsia="en-US" w:bidi="en-US"/>
        </w:rPr>
        <w:t>Art. 15, IV, do Decreto nº 11.462/2023.</w:t>
      </w:r>
    </w:p>
  </w:comment>
  <w:comment w:id="7" w:author="Autor" w:date="0-00-00T00:00:00Z" w:initials="A">
    <w:p>
      <w:r>
        <w:rPr>
          <w:rFonts w:ascii="Liberation Serif" w:hAnsi="Liberation Serif" w:eastAsia="Segoe UI"/>
          <w:b/>
          <w:bCs/>
          <w:i/>
          <w:iCs/>
          <w:color w:val="000000"/>
          <w:sz w:val="24"/>
          <w:lang w:val="en-US" w:eastAsia="en-US" w:bidi="en-US"/>
        </w:rPr>
        <w:t xml:space="preserve">Nota Explicativa: </w:t>
      </w:r>
      <w:r>
        <w:rPr>
          <w:rFonts w:ascii="Liberation Serif" w:hAnsi="Liberation Serif" w:eastAsia="Segoe UI"/>
          <w:i/>
          <w:iCs/>
          <w:color w:val="000000"/>
          <w:sz w:val="24"/>
          <w:lang w:val="en-US" w:eastAsia="en-US" w:bidi="en-US"/>
        </w:rPr>
        <w:t xml:space="preserve">O prazo de validade da proposta deve ser indicado no edital, em decorrência do disposto no </w:t>
      </w:r>
      <w:r>
        <w:fldChar w:fldCharType="begin"/>
      </w:r>
      <w:r>
        <w:instrText> HYPERLINK "http://www.planalto.gov.br/ccivil_03/_ato2019-2022/2021/lei/L14133.htm" \l "art90§3"</w:instrText>
      </w:r>
      <w:r>
        <w:fldChar w:fldCharType="separate"/>
      </w:r>
      <w:r>
        <w:rPr>
          <w:rFonts w:ascii="Liberation Serif" w:hAnsi="Liberation Serif" w:eastAsia="Segoe UI"/>
          <w:i/>
          <w:iCs/>
          <w:color w:val="000000"/>
          <w:sz w:val="24"/>
          <w:lang w:val="en-US" w:eastAsia="en-US" w:bidi="en-US"/>
        </w:rPr>
        <w:t>art. 90, §3º, e art. 155, VI, da Lei nº 14.133, de 2021</w:t>
      </w:r>
      <w:r>
        <w:fldChar w:fldCharType="end"/>
      </w:r>
      <w:r>
        <w:rPr>
          <w:rFonts w:ascii="Liberation Serif" w:hAnsi="Liberation Serif" w:eastAsia="Segoe UI"/>
          <w:i/>
          <w:iCs/>
          <w:color w:val="000000"/>
          <w:sz w:val="24"/>
          <w:lang w:val="en-US" w:eastAsia="en-US" w:bidi="en-US"/>
        </w:rPr>
        <w:t>. Contudo, a Lei de Licitações não fixou esse prazo. Por isso, a Administração deverá fixar o prazo de acordo com as peculiaridades da licitação. Desde já, indicamos, como sugestão, o prazo de 60 (sessenta dias).</w:t>
      </w:r>
    </w:p>
  </w:comment>
  <w:comment w:id="8" w:author="Autor" w:date="0-00-00T00:00:00Z" w:initials="A">
    <w:p>
      <w:r>
        <w:rPr>
          <w:rFonts w:ascii="Liberation Serif" w:hAnsi="Liberation Serif" w:eastAsia="Segoe UI"/>
          <w:b/>
          <w:bCs/>
          <w:i/>
          <w:iCs/>
          <w:color w:val="000000"/>
          <w:sz w:val="24"/>
          <w:lang w:val="en-US" w:eastAsia="en-US" w:bidi="en-US"/>
        </w:rPr>
        <w:t xml:space="preserve">Nota Explicativa: </w:t>
      </w:r>
      <w:r>
        <w:rPr>
          <w:rFonts w:ascii="Liberation Serif" w:hAnsi="Liberation Serif" w:eastAsia="Segoe UI"/>
          <w:i/>
          <w:iCs/>
          <w:color w:val="000000"/>
          <w:sz w:val="24"/>
          <w:lang w:val="en-US" w:eastAsia="en-US" w:bidi="en-US"/>
        </w:rPr>
        <w:t xml:space="preserve">Pelo </w:t>
      </w:r>
      <w:r>
        <w:fldChar w:fldCharType="begin"/>
      </w:r>
      <w:r>
        <w:instrText> HYPERLINK "https://www.gov.br/compras/pt-br/acesso-a-informacao/legislacao/instrucoes-normativas/instrucao-normativa-seges-me-no-73-de-30-de-setembro-de-2022" \l "art22§1"</w:instrText>
      </w:r>
      <w:r>
        <w:fldChar w:fldCharType="separate"/>
      </w:r>
      <w:r>
        <w:rPr>
          <w:rFonts w:ascii="Liberation Serif" w:hAnsi="Liberation Serif" w:eastAsia="Segoe UI"/>
          <w:i/>
          <w:iCs/>
          <w:color w:val="000000"/>
          <w:sz w:val="24"/>
          <w:lang w:val="en-US" w:eastAsia="en-US" w:bidi="en-US"/>
        </w:rPr>
        <w:t>artigo 22, § 1º, da Instrução Normativa SEGES nº 73, de 30 de setembro de 2022</w:t>
      </w:r>
      <w:r>
        <w:fldChar w:fldCharType="end"/>
      </w:r>
      <w:r>
        <w:rPr>
          <w:rFonts w:ascii="Liberation Serif" w:hAnsi="Liberation Serif" w:eastAsia="Segoe UI"/>
          <w:i/>
          <w:iCs/>
          <w:color w:val="000000"/>
          <w:sz w:val="24"/>
          <w:lang w:val="en-US" w:eastAsia="en-US" w:bidi="en-US"/>
        </w:rPr>
        <w:t>, é obrigatória a previsão de intervalo mínimo de diferença de valores ou percentuais</w:t>
      </w:r>
      <w:r>
        <w:rPr>
          <w:rFonts w:ascii="Liberation Serif" w:hAnsi="Liberation Serif" w:eastAsia="Segoe UI"/>
          <w:b/>
          <w:bCs/>
          <w:i/>
          <w:iCs/>
          <w:color w:val="000000"/>
          <w:sz w:val="24"/>
          <w:lang w:val="en-US" w:eastAsia="en-US" w:bidi="en-US"/>
        </w:rPr>
        <w:t>.</w:t>
      </w:r>
    </w:p>
  </w:comment>
  <w:comment w:id="9" w:author="Autor" w:date="0-00-00T00:00:00Z" w:initials="A">
    <w:p>
      <w:r>
        <w:rPr>
          <w:rFonts w:ascii="Liberation Serif" w:hAnsi="Liberation Serif" w:eastAsia="Segoe UI"/>
          <w:b/>
          <w:bCs/>
          <w:i/>
          <w:iCs/>
          <w:color w:val="000000"/>
          <w:sz w:val="24"/>
          <w:lang w:val="en-US" w:eastAsia="en-US" w:bidi="en-US"/>
        </w:rPr>
        <w:t xml:space="preserve">Nota Explicativa: </w:t>
      </w:r>
      <w:r>
        <w:rPr>
          <w:rFonts w:ascii="Liberation Serif" w:hAnsi="Liberation Serif" w:eastAsia="Segoe UI"/>
          <w:i/>
          <w:iCs/>
          <w:color w:val="000000"/>
          <w:sz w:val="24"/>
          <w:lang w:val="en-US" w:eastAsia="en-US" w:bidi="en-US"/>
        </w:rPr>
        <w:t>No modo de disputa aberto, a fase de lances resume-se à disputa eletrônica, realizada por todos os licitantes, oportunidade em que os valores são registrados pelo sistema e o lance vencedor é aquele que contém o melhor preço, obtido no encerramento da sessão.</w:t>
      </w:r>
    </w:p>
  </w:comment>
  <w:comment w:id="10"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O prazo de duas horas é o mínimo possível, podendo ser aumentado caso a Administração entenda pertinente, conforme </w:t>
      </w:r>
      <w:hyperlink r:id="rId1">
        <w:r>
          <w:rPr>
            <w:rFonts w:ascii="Liberation Serif" w:hAnsi="Liberation Serif" w:eastAsia="Segoe UI"/>
            <w:i/>
            <w:iCs/>
            <w:color w:val="000000"/>
            <w:sz w:val="24"/>
            <w:lang w:val="en-US" w:eastAsia="en-US" w:bidi="en-US"/>
          </w:rPr>
          <w:t>art. 29, § 2º, da IN SEGES nº 73, de 30 de setembro de 2022</w:t>
        </w:r>
      </w:hyperlink>
      <w:r>
        <w:rPr>
          <w:rFonts w:ascii="Liberation Serif" w:hAnsi="Liberation Serif" w:eastAsia="Segoe UI"/>
          <w:i/>
          <w:iCs/>
          <w:color w:val="000000"/>
          <w:sz w:val="24"/>
          <w:lang w:val="en-US" w:eastAsia="en-US" w:bidi="en-US"/>
        </w:rPr>
        <w:t>.</w:t>
      </w:r>
    </w:p>
  </w:comment>
  <w:comment w:id="11" w:author="Autor" w:date="0-00-00T00:00:00Z" w:initials="A">
    <w:p>
      <w:r>
        <w:rPr>
          <w:rFonts w:ascii="Liberation Serif" w:hAnsi="Liberation Serif" w:eastAsia="Segoe UI"/>
          <w:b/>
          <w:bCs/>
          <w:i/>
          <w:iCs/>
          <w:sz w:val="24"/>
          <w:lang w:val="en-US" w:eastAsia="en-US" w:bidi="en-US"/>
        </w:rPr>
        <w:t>Nota explicativa:</w:t>
      </w:r>
      <w:r>
        <w:rPr>
          <w:rFonts w:ascii="Liberation Serif" w:hAnsi="Liberation Serif" w:eastAsia="Segoe UI"/>
          <w:i/>
          <w:iCs/>
          <w:sz w:val="24"/>
          <w:lang w:val="en-US" w:eastAsia="en-US" w:bidi="en-US"/>
        </w:rPr>
        <w:t xml:space="preserve"> A recomendação de consulta a esses cadastros se dá à luz do </w:t>
      </w:r>
      <w:r>
        <w:fldChar w:fldCharType="begin"/>
      </w:r>
      <w:r>
        <w:instrText> HYPERLINK "http://www.planalto.gov.br/ccivil_03/_ato2019-2022/2021/lei/L14133.htm" \l "art91§4"</w:instrText>
      </w:r>
      <w:r>
        <w:fldChar w:fldCharType="separate"/>
      </w:r>
      <w:r>
        <w:rPr>
          <w:rFonts w:ascii="Liberation Serif" w:hAnsi="Liberation Serif" w:eastAsia="Segoe UI"/>
          <w:i/>
          <w:iCs/>
          <w:sz w:val="24"/>
          <w:lang w:val="en-US" w:eastAsia="en-US" w:bidi="en-US"/>
        </w:rPr>
        <w:t>§ 4º do art. 91, da Lei nº 14.133, de 2021</w:t>
      </w:r>
      <w:r>
        <w:fldChar w:fldCharType="end"/>
      </w:r>
      <w:r>
        <w:rPr>
          <w:rFonts w:ascii="Liberation Serif" w:hAnsi="Liberation Serif" w:eastAsia="Segoe UI"/>
          <w:i/>
          <w:iCs/>
          <w:sz w:val="24"/>
          <w:lang w:val="en-US" w:eastAsia="en-US" w:bidi="en-US"/>
        </w:rPr>
        <w:t>, sem prejuízo da possibilidade, a critério do órgão respectivo, de consulta complementar a outros cadastros análogos, tais como os mantidos pelo Tribunal de Contas da União – TCU.</w:t>
      </w:r>
    </w:p>
  </w:comment>
  <w:comment w:id="12" w:author="Autor" w:date="0-00-00T00:00:00Z" w:initials="A">
    <w:p>
      <w:r>
        <w:rPr>
          <w:rFonts w:ascii="Liberation Serif" w:hAnsi="Liberation Serif" w:eastAsia="Segoe UI"/>
          <w:b/>
          <w:bCs/>
          <w:i/>
          <w:iCs/>
          <w:sz w:val="24"/>
          <w:lang w:val="en-US" w:eastAsia="en-US" w:bidi="en-US"/>
        </w:rPr>
        <w:t>Nota explicativa 1</w:t>
      </w:r>
      <w:r>
        <w:rPr>
          <w:rFonts w:ascii="Liberation Serif" w:hAnsi="Liberation Serif" w:eastAsia="Segoe UI"/>
          <w:i/>
          <w:iCs/>
          <w:sz w:val="24"/>
          <w:lang w:val="en-US" w:eastAsia="en-US" w:bidi="en-US"/>
        </w:rPr>
        <w:t>: A decisão quanto à exigência de amostra e suas especificidades consta do Termo de Referência.</w:t>
      </w:r>
    </w:p>
  </w:comment>
  <w:comment w:id="13" w:author="Autor" w:date="0-00-00T00:00:00Z" w:initials="A">
    <w:p>
      <w:r>
        <w:rPr>
          <w:rFonts w:ascii="Liberation Serif" w:hAnsi="Liberation Serif" w:eastAsia="Segoe UI"/>
          <w:b/>
          <w:bCs/>
          <w:i/>
          <w:iCs/>
          <w:color w:val="000000"/>
          <w:sz w:val="24"/>
          <w:lang w:val="en-US" w:eastAsia="en-US" w:bidi="en-US"/>
        </w:rPr>
        <w:t xml:space="preserve">Nota explicativa: </w:t>
      </w:r>
      <w:r>
        <w:rPr>
          <w:rFonts w:ascii="Liberation Serif" w:hAnsi="Liberation Serif" w:eastAsia="Segoe UI"/>
          <w:i/>
          <w:iCs/>
          <w:color w:val="000000"/>
          <w:sz w:val="24"/>
          <w:lang w:val="en-US" w:eastAsia="en-US" w:bidi="en-US"/>
        </w:rPr>
        <w:t xml:space="preserve">O </w:t>
      </w:r>
      <w:hyperlink r:id="rId2">
        <w:r>
          <w:rPr>
            <w:rFonts w:ascii="Liberation Serif" w:hAnsi="Liberation Serif" w:eastAsia="Segoe UI"/>
            <w:i/>
            <w:iCs/>
            <w:color w:val="000000"/>
            <w:sz w:val="24"/>
            <w:lang w:val="en-US" w:eastAsia="en-US" w:bidi="en-US"/>
          </w:rPr>
          <w:t>artigo 18, §2º, da IN SEGES nº 73, de 30 de setembro de 2022</w:t>
        </w:r>
      </w:hyperlink>
      <w:r>
        <w:rPr>
          <w:rFonts w:ascii="Liberation Serif" w:hAnsi="Liberation Serif" w:eastAsia="Segoe UI"/>
          <w:i/>
          <w:iCs/>
          <w:color w:val="000000"/>
          <w:sz w:val="24"/>
          <w:lang w:val="en-US" w:eastAsia="en-US" w:bidi="en-US"/>
        </w:rPr>
        <w:t xml:space="preserve">, obriga a apresentação dessa declaração. </w:t>
      </w:r>
    </w:p>
  </w:comment>
  <w:comment w:id="14"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Essa diligência é cabível no caso de o documento apresentado ser inconclusivo quanto ao atendimento de requisitos do edital. É o que ocorre, por exemplo, quando um atestado menciona genericamente que o licitante já executou objeto semelhante, mas o edital exige algum detalhe, tal como determinada medida. Não é caso de complementação a hipótese em que o atestado já traz informação precisa que inquestionavelmente indica capacidade inferior à exigida. Nesse sentido, aplica-se o PARECER n. 00006/2021/CNMLC/CGU/AGU, que, embora proferido sob à égide do </w:t>
      </w:r>
      <w:hyperlink r:id="rId3">
        <w:r>
          <w:rPr>
            <w:rFonts w:ascii="Liberation Serif" w:hAnsi="Liberation Serif" w:eastAsia="Segoe UI"/>
            <w:i/>
            <w:iCs/>
            <w:color w:val="000000"/>
            <w:sz w:val="24"/>
            <w:lang w:val="en-US" w:eastAsia="en-US" w:bidi="en-US"/>
          </w:rPr>
          <w:t>Decreto nº 10.024/2019</w:t>
        </w:r>
      </w:hyperlink>
      <w:r>
        <w:rPr>
          <w:rFonts w:ascii="Liberation Serif" w:hAnsi="Liberation Serif" w:eastAsia="Segoe UI"/>
          <w:i/>
          <w:iCs/>
          <w:color w:val="000000"/>
          <w:sz w:val="24"/>
          <w:lang w:val="en-US" w:eastAsia="en-US" w:bidi="en-US"/>
        </w:rPr>
        <w:t>, está em consonância com a novel legislação.</w:t>
      </w:r>
    </w:p>
  </w:comment>
  <w:comment w:id="15" w:author="Autor" w:date="0-00-00T00:00:00Z" w:initials="A">
    <w:p>
      <w:r>
        <w:rPr>
          <w:rFonts w:ascii="Liberation Serif" w:hAnsi="Liberation Serif" w:eastAsia="Segoe UI"/>
          <w:b/>
          <w:bCs/>
          <w:i/>
          <w:iCs/>
          <w:sz w:val="24"/>
          <w:lang w:val="en-US" w:eastAsia="en-US" w:bidi="en-US"/>
        </w:rPr>
        <w:t>Nota explicativa</w:t>
      </w:r>
      <w:r>
        <w:rPr>
          <w:rFonts w:ascii="Liberation Serif" w:hAnsi="Liberation Serif" w:eastAsia="Segoe UI"/>
          <w:i/>
          <w:iCs/>
          <w:sz w:val="24"/>
          <w:lang w:val="en-US" w:eastAsia="en-US" w:bidi="en-US"/>
        </w:rPr>
        <w:t xml:space="preserve">: </w:t>
      </w:r>
      <w:r>
        <w:rPr>
          <w:rFonts w:ascii="Liberation Serif" w:hAnsi="Liberation Serif" w:eastAsia="Segoe UI"/>
          <w:sz w:val="24"/>
          <w:lang w:val="en-US" w:eastAsia="en-US" w:bidi="en-US"/>
        </w:rPr>
        <w:t>Adotar esse item apenas se a licitação for para registro de preços.</w:t>
      </w:r>
    </w:p>
    <w:p>
      <w:r>
        <w:rPr>
          <w:rFonts w:ascii="Liberation Serif" w:hAnsi="Liberation Serif" w:eastAsia="Segoe UI"/>
          <w:sz w:val="24"/>
          <w:lang w:val="en-US" w:eastAsia="en-US" w:bidi="en-US"/>
        </w:rPr>
      </w:r>
    </w:p>
  </w:comment>
  <w:comment w:id="16" w:author="Autor" w:date="0-00-00T00:00:00Z" w:initials="A">
    <w:p>
      <w:r>
        <w:rPr>
          <w:rFonts w:ascii="Liberation Serif" w:hAnsi="Liberation Serif" w:eastAsia="Segoe UI"/>
          <w:b/>
          <w:bCs/>
          <w:i/>
          <w:iCs/>
          <w:sz w:val="24"/>
          <w:lang w:val="en-US" w:eastAsia="en-US" w:bidi="en-US"/>
        </w:rPr>
        <w:t>Nota explicativa</w:t>
      </w:r>
      <w:r>
        <w:rPr>
          <w:rFonts w:ascii="Liberation Serif" w:hAnsi="Liberation Serif" w:eastAsia="Segoe UI"/>
          <w:i/>
          <w:iCs/>
          <w:sz w:val="24"/>
          <w:lang w:val="en-US" w:eastAsia="en-US" w:bidi="en-US"/>
        </w:rPr>
        <w:t xml:space="preserve">: </w:t>
      </w:r>
      <w:r>
        <w:rPr>
          <w:rFonts w:ascii="Liberation Serif" w:hAnsi="Liberation Serif" w:eastAsia="Segoe UI"/>
          <w:sz w:val="24"/>
          <w:lang w:val="en-US" w:eastAsia="en-US" w:bidi="en-US"/>
        </w:rPr>
        <w:t>Conforme art. 19, § 1º, do Decreto nº 11.462/23.</w:t>
      </w:r>
    </w:p>
  </w:comment>
  <w:comment w:id="17" w:author="Autor" w:date="0-00-00T00:00:00Z" w:initials="A">
    <w:p>
      <w:r>
        <w:rPr>
          <w:rFonts w:ascii="Liberation Serif" w:hAnsi="Liberation Serif" w:eastAsia="Segoe UI"/>
          <w:b/>
          <w:bCs/>
          <w:i/>
          <w:iCs/>
          <w:sz w:val="24"/>
          <w:lang w:val="en-US" w:eastAsia="en-US" w:bidi="en-US"/>
        </w:rPr>
        <w:t>Nota explicativa</w:t>
      </w:r>
      <w:r>
        <w:rPr>
          <w:rFonts w:ascii="Liberation Serif" w:hAnsi="Liberation Serif" w:eastAsia="Segoe UI"/>
          <w:i/>
          <w:iCs/>
          <w:sz w:val="24"/>
          <w:lang w:val="en-US" w:eastAsia="en-US" w:bidi="en-US"/>
        </w:rPr>
        <w:t xml:space="preserve">: </w:t>
      </w:r>
      <w:r>
        <w:rPr>
          <w:rFonts w:ascii="Liberation Serif" w:hAnsi="Liberation Serif" w:eastAsia="Segoe UI"/>
          <w:sz w:val="24"/>
          <w:lang w:val="en-US" w:eastAsia="en-US" w:bidi="en-US"/>
        </w:rPr>
        <w:t>Conforme art. 18, § 4º, do Decreto nº 11.462/23.</w:t>
      </w:r>
    </w:p>
  </w:comment>
  <w:comment w:id="18" w:author="Autor" w:date="0-00-00T00:00:00Z" w:initials="A">
    <w:p>
      <w:r>
        <w:rPr>
          <w:rFonts w:ascii="Liberation Serif" w:hAnsi="Liberation Serif" w:eastAsia="Segoe UI"/>
          <w:b/>
          <w:bCs/>
          <w:i/>
          <w:iCs/>
          <w:sz w:val="24"/>
          <w:lang w:val="en-US" w:eastAsia="en-US" w:bidi="en-US"/>
        </w:rPr>
        <w:t>Nota explicativa</w:t>
      </w:r>
      <w:r>
        <w:rPr>
          <w:rFonts w:ascii="Liberation Serif" w:hAnsi="Liberation Serif" w:eastAsia="Segoe UI"/>
          <w:i/>
          <w:iCs/>
          <w:sz w:val="24"/>
          <w:lang w:val="en-US" w:eastAsia="en-US" w:bidi="en-US"/>
        </w:rPr>
        <w:t xml:space="preserve">: </w:t>
      </w:r>
      <w:r>
        <w:rPr>
          <w:rFonts w:ascii="Liberation Serif" w:hAnsi="Liberation Serif" w:eastAsia="Segoe UI"/>
          <w:sz w:val="24"/>
          <w:lang w:val="en-US" w:eastAsia="en-US" w:bidi="en-US"/>
        </w:rPr>
        <w:t>Conforme art. 20 do Decreto nº 11.462/23.</w:t>
      </w:r>
    </w:p>
  </w:comment>
  <w:comment w:id="19"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As infrações e penalidades dispostas nesse item se referem especialmente às disposições da licitação, ficando no contrato os regramentos inerentes à fase contratual.</w:t>
      </w:r>
    </w:p>
  </w:comment>
  <w:comment w:id="20" w:author="Autor" w:date="0-00-00T00:00:00Z" w:initials="A">
    <w:p>
      <w:r>
        <w:rPr>
          <w:rFonts w:ascii="Liberation Serif" w:hAnsi="Liberation Serif" w:eastAsia="Segoe UI"/>
          <w:b/>
          <w:bCs/>
          <w:i/>
          <w:iCs/>
          <w:color w:val="000000"/>
          <w:sz w:val="24"/>
          <w:lang w:val="en-US" w:eastAsia="en-US" w:bidi="en-US"/>
        </w:rPr>
        <w:t xml:space="preserve">Nota explicativa: </w:t>
      </w:r>
      <w:r>
        <w:rPr>
          <w:rFonts w:ascii="Liberation Serif" w:hAnsi="Liberation Serif" w:eastAsia="Segoe UI"/>
          <w:i/>
          <w:iCs/>
          <w:color w:val="000000"/>
          <w:sz w:val="24"/>
          <w:lang w:val="en-US" w:eastAsia="en-US" w:bidi="en-US"/>
        </w:rPr>
        <w:t xml:space="preserve">O valor da multa deverá observar o disposto no </w:t>
      </w:r>
      <w:r>
        <w:fldChar w:fldCharType="begin"/>
      </w:r>
      <w:r>
        <w:instrText> HYPERLINK "http://www.planalto.gov.br/ccivil_03/_ato2019-2022/2021/lei/L14133.htm" \l "art156§1"</w:instrText>
      </w:r>
      <w:r>
        <w:fldChar w:fldCharType="separate"/>
      </w:r>
      <w:r>
        <w:rPr>
          <w:rFonts w:ascii="Liberation Serif" w:hAnsi="Liberation Serif" w:eastAsia="Segoe UI"/>
          <w:i/>
          <w:iCs/>
          <w:color w:val="000000"/>
          <w:sz w:val="24"/>
          <w:lang w:val="en-US" w:eastAsia="en-US" w:bidi="en-US"/>
        </w:rPr>
        <w:t>art. 156, §1º, da Lei nº 14.133, de 2021</w:t>
      </w:r>
      <w:r>
        <w:fldChar w:fldCharType="end"/>
      </w:r>
      <w:r>
        <w:rPr>
          <w:rFonts w:ascii="Liberation Serif" w:hAnsi="Liberation Serif" w:eastAsia="Segoe UI"/>
          <w:i/>
          <w:iCs/>
          <w:color w:val="000000"/>
          <w:sz w:val="24"/>
          <w:lang w:val="en-US" w:eastAsia="en-US" w:bidi="en-US"/>
        </w:rPr>
        <w:t>.</w:t>
      </w:r>
    </w:p>
    <w:p>
      <w:r>
        <w:rPr>
          <w:rFonts w:ascii="Liberation Serif" w:hAnsi="Liberation Serif" w:eastAsia="Segoe UI"/>
          <w:i/>
          <w:iCs/>
          <w:color w:val="000000"/>
          <w:sz w:val="24"/>
          <w:lang w:val="en-US" w:eastAsia="en-US" w:bidi="en-US"/>
        </w:rPr>
        <w:t xml:space="preserve">Segundo o </w:t>
      </w:r>
      <w:r>
        <w:fldChar w:fldCharType="begin"/>
      </w:r>
      <w:r>
        <w:instrText> HYPERLINK "http://www.planalto.gov.br/ccivil_03/_ato2019-2022/2021/lei/L14133.htm" \l "art156§3"</w:instrText>
      </w:r>
      <w:r>
        <w:fldChar w:fldCharType="separate"/>
      </w:r>
      <w:r>
        <w:rPr>
          <w:rFonts w:ascii="Liberation Serif" w:hAnsi="Liberation Serif" w:eastAsia="Segoe UI"/>
          <w:i/>
          <w:iCs/>
          <w:color w:val="000000"/>
          <w:sz w:val="24"/>
          <w:lang w:val="en-US" w:eastAsia="en-US" w:bidi="en-US"/>
        </w:rPr>
        <w:t>art. 156, §3º</w:t>
      </w:r>
      <w:r>
        <w:fldChar w:fldCharType="end"/>
      </w:r>
      <w:r>
        <w:rPr>
          <w:rFonts w:ascii="Liberation Serif" w:hAnsi="Liberation Serif" w:eastAsia="Segoe UI"/>
          <w:i/>
          <w:iCs/>
          <w:color w:val="000000"/>
          <w:sz w:val="24"/>
          <w:lang w:val="en-US" w:eastAsia="en-US" w:bidi="en-US"/>
        </w:rPr>
        <w:t xml:space="preserve"> a multa não poderá ser inferior a 0,5% (cinco décimos por cento) nem superior a 30% (trinta) por cento do valor do contrato licitado ou celebrado com contratação direta e será aplicada ao responsável por qualquer das infrações administrativas previstas no </w:t>
      </w:r>
      <w:r>
        <w:fldChar w:fldCharType="begin"/>
      </w:r>
      <w:r>
        <w:instrText> HYPERLINK "http://www.planalto.gov.br/ccivil_03/_ato2019-2022/2021/lei/L14133.htm" \l "art155"</w:instrText>
      </w:r>
      <w:r>
        <w:fldChar w:fldCharType="separate"/>
      </w:r>
      <w:r>
        <w:rPr>
          <w:rFonts w:ascii="Liberation Serif" w:hAnsi="Liberation Serif" w:eastAsia="Segoe UI"/>
          <w:i/>
          <w:iCs/>
          <w:color w:val="000000"/>
          <w:sz w:val="24"/>
          <w:lang w:val="en-US" w:eastAsia="en-US" w:bidi="en-US"/>
        </w:rPr>
        <w:t>art. 155 da Lei n.º 14.133/2021</w:t>
      </w:r>
      <w:r>
        <w:fldChar w:fldCharType="end"/>
      </w:r>
      <w:r>
        <w:rPr>
          <w:rFonts w:ascii="Liberation Serif" w:hAnsi="Liberation Serif" w:eastAsia="Segoe UI"/>
          <w:i/>
          <w:iCs/>
          <w:color w:val="000000"/>
          <w:sz w:val="24"/>
          <w:lang w:val="en-US" w:eastAsia="en-US" w:bidi="en-US"/>
        </w:rPr>
        <w:t>. Deve-se fixar o percentual da multa proporcional à gravidade da infração.</w:t>
      </w:r>
    </w:p>
    <w:p>
      <w:r>
        <w:rPr>
          <w:rFonts w:ascii="Liberation Serif" w:hAnsi="Liberation Serif" w:eastAsia="Segoe UI"/>
          <w:i/>
          <w:iCs/>
          <w:color w:val="000000"/>
          <w:sz w:val="24"/>
          <w:lang w:val="en-US" w:eastAsia="en-US" w:bidi="en-US"/>
        </w:rPr>
        <w:t>Há discricionariedade do gestor na fixação da multa, sendo os percentuais sugeridos meramente indicativos. Destaque-se que as infrações contidas nos itens 9.1.1 a 9.1.3 são, pela própria legislação, considerados mais graves que as contidas nos itens 9.1.4 a 9.1.8. Permite-se, ainda, a modificação dos dispositivos para desmembrar as infrações e atribuir percentuais distintos.</w:t>
      </w:r>
    </w:p>
  </w:comment>
  <w:comment w:id="21"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Conforme estabelece o </w:t>
      </w:r>
      <w:r>
        <w:fldChar w:fldCharType="begin"/>
      </w:r>
      <w:r>
        <w:instrText> HYPERLINK "http://www.planalto.gov.br/ccivil_03/_ato2019-2022/2021/lei/L14133.htm" \l "art156§4"</w:instrText>
      </w:r>
      <w:r>
        <w:fldChar w:fldCharType="separate"/>
      </w:r>
      <w:r>
        <w:rPr>
          <w:rFonts w:ascii="Liberation Serif" w:hAnsi="Liberation Serif" w:eastAsia="Segoe UI"/>
          <w:i/>
          <w:iCs/>
          <w:color w:val="000000"/>
          <w:sz w:val="24"/>
          <w:lang w:val="en-US" w:eastAsia="en-US" w:bidi="en-US"/>
        </w:rPr>
        <w:t>art. 156, §4º</w:t>
      </w:r>
      <w:r>
        <w:fldChar w:fldCharType="end"/>
      </w:r>
      <w:r>
        <w:rPr>
          <w:rFonts w:ascii="Liberation Serif" w:hAnsi="Liberation Serif" w:eastAsia="Segoe UI"/>
          <w:i/>
          <w:iCs/>
          <w:color w:val="000000"/>
          <w:sz w:val="24"/>
          <w:lang w:val="en-US" w:eastAsia="en-US" w:bidi="en-US"/>
        </w:rPr>
        <w:t>, essa disposição deverá indicar o respectivo ente federativo a que pertence o órgão ou entidade sancionadora.</w:t>
      </w:r>
    </w:p>
  </w:comment>
  <w:comment w:id="22"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Conforme estabelece o </w:t>
      </w:r>
      <w:r>
        <w:fldChar w:fldCharType="begin"/>
      </w:r>
      <w:r>
        <w:instrText> HYPERLINK "http://www.planalto.gov.br/ccivil_03/_ato2019-2022/2021/lei/L14133.htm" \l "art158§1"</w:instrText>
      </w:r>
      <w:r>
        <w:fldChar w:fldCharType="separate"/>
      </w:r>
      <w:r>
        <w:rPr>
          <w:rFonts w:ascii="Liberation Serif" w:hAnsi="Liberation Serif" w:eastAsia="Segoe UI"/>
          <w:i/>
          <w:iCs/>
          <w:color w:val="000000"/>
          <w:sz w:val="24"/>
          <w:lang w:val="en-US" w:eastAsia="en-US" w:bidi="en-US"/>
        </w:rPr>
        <w:t>art. 158, §1º</w:t>
      </w:r>
      <w:r>
        <w:fldChar w:fldCharType="end"/>
      </w:r>
      <w:r>
        <w:rPr>
          <w:rFonts w:ascii="Liberation Serif" w:hAnsi="Liberation Serif" w:eastAsia="Segoe UI"/>
          <w:i/>
          <w:iCs/>
          <w:color w:val="000000"/>
          <w:sz w:val="24"/>
          <w:lang w:val="en-US" w:eastAsia="en-US" w:bidi="en-US"/>
        </w:rPr>
        <w:t>, quando o órgão ou entidade não dispuser em seu quadro funcional de servidores estatutários, a comissão será composta por 2 (dois) ou mais empregados públicos pertencentes aos seus quadros permanentes, preferencialmente com, no mínimo, 3 (três) anos de tempo de serviço no órgão ou entidade.</w:t>
      </w:r>
    </w:p>
  </w:comment>
  <w:comment w:id="23"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Conforme estabelece o </w:t>
      </w:r>
      <w:r>
        <w:fldChar w:fldCharType="begin"/>
      </w:r>
      <w:r>
        <w:instrText> HYPERLINK "http://www.planalto.gov.br/ccivil_03/_ato2019-2022/2021/lei/L14133.htm" \l "art156§9"</w:instrText>
      </w:r>
      <w:r>
        <w:fldChar w:fldCharType="separate"/>
      </w:r>
      <w:r>
        <w:rPr>
          <w:rFonts w:ascii="Liberation Serif" w:hAnsi="Liberation Serif" w:eastAsia="Segoe UI"/>
          <w:i/>
          <w:iCs/>
          <w:color w:val="000000"/>
          <w:sz w:val="24"/>
          <w:lang w:val="en-US" w:eastAsia="en-US" w:bidi="en-US"/>
        </w:rPr>
        <w:t>art. 156, §9º</w:t>
      </w:r>
      <w:r>
        <w:fldChar w:fldCharType="end"/>
      </w:r>
      <w:r>
        <w:rPr>
          <w:rFonts w:ascii="Liberation Serif" w:hAnsi="Liberation Serif" w:eastAsia="Segoe UI"/>
          <w:i/>
          <w:iCs/>
          <w:color w:val="000000"/>
          <w:sz w:val="24"/>
          <w:lang w:val="en-US" w:eastAsia="en-US" w:bidi="en-US"/>
        </w:rPr>
        <w:t>, essa disposição deverá indicar o respectivo ente federativo a que pertence o órgão ou entidade sancionadora.</w:t>
      </w:r>
    </w:p>
  </w:comment>
  <w:comment w:id="24"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A atribuição para concessão do efeito suspensivo foi conferida ao agente de contratação pelo </w:t>
      </w:r>
      <w:hyperlink r:id="rId4">
        <w:r>
          <w:rPr>
            <w:rFonts w:ascii="Liberation Serif" w:hAnsi="Liberation Serif" w:eastAsia="Segoe UI"/>
            <w:i/>
            <w:iCs/>
            <w:color w:val="000000"/>
            <w:sz w:val="24"/>
            <w:lang w:val="en-US" w:eastAsia="en-US" w:bidi="en-US"/>
          </w:rPr>
          <w:t>§ 2º do artigo 16 da IN SEGES nº 73, de 2022</w:t>
        </w:r>
      </w:hyperlink>
      <w:r>
        <w:rPr>
          <w:rFonts w:ascii="Liberation Serif" w:hAnsi="Liberation Serif" w:eastAsia="Segoe UI"/>
          <w:i/>
          <w:iCs/>
          <w:color w:val="000000"/>
          <w:sz w:val="24"/>
          <w:lang w:val="en-US" w:eastAsia="en-US" w:bidi="en-US"/>
        </w:rPr>
        <w:t>.</w:t>
      </w:r>
    </w:p>
  </w:comment>
  <w:comment w:id="25" w:author="Autor" w:date="0-00-00T00:00:00Z" w:initials="A">
    <w:p>
      <w:r>
        <w:rPr>
          <w:rFonts w:ascii="Liberation Serif" w:hAnsi="Liberation Serif" w:eastAsia="Segoe UI"/>
          <w:b/>
          <w:bCs/>
          <w:i/>
          <w:iCs/>
          <w:color w:val="000000"/>
          <w:sz w:val="24"/>
          <w:lang w:val="en-US" w:eastAsia="en-US" w:bidi="en-US"/>
        </w:rPr>
        <w:t>Nota explicativa 1:</w:t>
      </w:r>
      <w:r>
        <w:rPr>
          <w:rFonts w:ascii="Liberation Serif" w:hAnsi="Liberation Serif" w:eastAsia="Segoe UI"/>
          <w:i/>
          <w:iCs/>
          <w:color w:val="000000"/>
          <w:sz w:val="24"/>
          <w:lang w:val="en-US" w:eastAsia="en-US" w:bidi="en-US"/>
        </w:rPr>
        <w:t xml:space="preserve"> O PARECER n.00004/2022/CNMLC/CGU/AGU (NUP: 00688.000716/2019-43), elaborado pela Câmara Nacional de Modelos de Licitação e Contratos Administrativos e aprovado pelo Consultor-Geral da União, ao tratar sobre a aplicação da Lei Geral de Proteção de Dados nos modelos de licitação e contratos, fixou o entendimento de que, nos contratos administrativos, “[...] </w:t>
      </w:r>
      <w:r>
        <w:rPr>
          <w:rFonts w:ascii="Liberation Serif" w:hAnsi="Liberation Serif" w:eastAsia="Segoe UI"/>
          <w:b/>
          <w:bCs/>
          <w:i/>
          <w:iCs/>
          <w:color w:val="000000"/>
          <w:sz w:val="24"/>
          <w:lang w:val="en-US" w:eastAsia="en-US" w:bidi="en-US"/>
        </w:rPr>
        <w:t>não constem os números de documentos pessoais das pessoas naturais que irão assiná-los, como ocorre normalmente com os representantes da Administração e da empresa contratada</w:t>
      </w:r>
      <w:r>
        <w:rPr>
          <w:rFonts w:ascii="Liberation Serif" w:hAnsi="Liberation Serif" w:eastAsia="Segoe UI"/>
          <w:i/>
          <w:iCs/>
          <w:color w:val="000000"/>
          <w:sz w:val="24"/>
          <w:lang w:val="en-US" w:eastAsia="en-US" w:bidi="en-US"/>
        </w:rPr>
        <w:t xml:space="preserve">. Em vez disso, propõe-se nos instrumentos contratuais os representantes da Administração sejam identificados apenas com a matrícula funcional [...]. Com relação aos representantes da contratada também se propõe que os instrumentos contratuais os identifiquem apenas pelo nome, até porque o </w:t>
      </w:r>
      <w:r>
        <w:fldChar w:fldCharType="begin"/>
      </w:r>
      <w:r>
        <w:instrText> HYPERLINK "https://www.planalto.gov.br/ccivil_03/leis/l8666cons.htm" \l "art61"</w:instrText>
      </w:r>
      <w:r>
        <w:fldChar w:fldCharType="separate"/>
      </w:r>
      <w:r>
        <w:rPr>
          <w:rFonts w:ascii="Liberation Serif" w:hAnsi="Liberation Serif" w:eastAsia="Segoe UI"/>
          <w:i/>
          <w:iCs/>
          <w:color w:val="000000"/>
          <w:sz w:val="24"/>
          <w:lang w:val="en-US" w:eastAsia="en-US" w:bidi="en-US"/>
        </w:rPr>
        <w:t>art. 61 da Lei nº 8.666, de 1993</w:t>
      </w:r>
      <w:r>
        <w:fldChar w:fldCharType="end"/>
      </w:r>
      <w:r>
        <w:rPr>
          <w:rFonts w:ascii="Liberation Serif" w:hAnsi="Liberation Serif" w:eastAsia="Segoe UI"/>
          <w:i/>
          <w:iCs/>
          <w:color w:val="000000"/>
          <w:sz w:val="24"/>
          <w:lang w:val="en-US" w:eastAsia="en-US" w:bidi="en-US"/>
        </w:rPr>
        <w:t xml:space="preserve">, e o </w:t>
      </w:r>
      <w:r>
        <w:fldChar w:fldCharType="begin"/>
      </w:r>
      <w:r>
        <w:instrText> HYPERLINK "http://www.planalto.gov.br/ccivil_03/_ato2019-2022/2021/lei/L14133.htm" \l "art89§1"</w:instrText>
      </w:r>
      <w:r>
        <w:fldChar w:fldCharType="separate"/>
      </w:r>
      <w:r>
        <w:rPr>
          <w:rFonts w:ascii="Liberation Serif" w:hAnsi="Liberation Serif" w:eastAsia="Segoe UI"/>
          <w:i/>
          <w:iCs/>
          <w:color w:val="000000"/>
          <w:sz w:val="24"/>
          <w:lang w:val="en-US" w:eastAsia="en-US" w:bidi="en-US"/>
        </w:rPr>
        <w:t>§1º do art. 89 da Lei nº 14.133, de 1º de abril de 2021</w:t>
      </w:r>
      <w:r>
        <w:fldChar w:fldCharType="end"/>
      </w:r>
      <w:r>
        <w:rPr>
          <w:rFonts w:ascii="Liberation Serif" w:hAnsi="Liberation Serif" w:eastAsia="Segoe UI"/>
          <w:i/>
          <w:iCs/>
          <w:color w:val="000000"/>
          <w:sz w:val="24"/>
          <w:lang w:val="en-US" w:eastAsia="en-US" w:bidi="en-US"/>
        </w:rPr>
        <w:t>, exigem apenas esse dado”.</w:t>
      </w:r>
    </w:p>
    <w:p>
      <w:r>
        <w:rPr>
          <w:rFonts w:ascii="Liberation Serif" w:hAnsi="Liberation Serif" w:eastAsia="Segoe UI"/>
          <w:b/>
          <w:bCs/>
          <w:i/>
          <w:iCs/>
          <w:color w:val="000000"/>
          <w:sz w:val="24"/>
          <w:lang w:val="en-US" w:eastAsia="en-US" w:bidi="en-US"/>
        </w:rPr>
        <w:t>Nota Explicativa 2</w:t>
      </w:r>
      <w:r>
        <w:rPr>
          <w:rFonts w:ascii="Liberation Serif" w:hAnsi="Liberation Serif" w:eastAsia="Segoe UI"/>
          <w:sz w:val="24"/>
          <w:lang w:val="en-US" w:eastAsia="en-US" w:bidi="en-US"/>
        </w:rPr>
        <w:t>: Caso seja exigida a garantia na modalidade seguro-garantia com cláusula de retomada, já no preâmbulo do contrato deverá ser acrescentada a menção à seguradora, com a respectiva qualificação, que será doravante designada como INTERVENIENTE ANUENTE.</w:t>
      </w:r>
    </w:p>
  </w:comment>
  <w:comment w:id="26" w:author="Autor" w:date="0-00-00T00:00:00Z" w:initials="A">
    <w:p>
      <w:r>
        <w:rPr>
          <w:rFonts w:ascii="Liberation Serif" w:hAnsi="Liberation Serif" w:eastAsia="Segoe UI"/>
          <w:b/>
          <w:bCs/>
          <w:i/>
          <w:iCs/>
          <w:sz w:val="24"/>
          <w:lang w:val="en-US" w:eastAsia="en-US" w:bidi="en-US"/>
        </w:rPr>
        <w:t>Nota Explicativa</w:t>
      </w:r>
      <w:r>
        <w:rPr>
          <w:rFonts w:ascii="Liberation Serif" w:hAnsi="Liberation Serif" w:eastAsia="Segoe UI"/>
          <w:i/>
          <w:iCs/>
          <w:sz w:val="24"/>
          <w:lang w:val="en-US" w:eastAsia="en-US" w:bidi="en-US"/>
        </w:rPr>
        <w:t>: Caso o objeto envolva parte sujeita ao regime de empreitada por preço global e parte sujeita ao regime de empreitada por preço unitário, em que os serviços são prestados e pagos sob demanda, ajustar a cláusula conforme a necessidade.</w:t>
      </w:r>
    </w:p>
  </w:comment>
  <w:comment w:id="27"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w:t>
      </w:r>
      <w:r>
        <w:fldChar w:fldCharType="begin"/>
      </w:r>
      <w:r>
        <w:instrText> HYPERLINK "http://www.planalto.gov.br/ccivil_03/_ato2019-2022/2021/lei/L14133.htm" \l "art25§7"</w:instrText>
      </w:r>
      <w:r>
        <w:fldChar w:fldCharType="separate"/>
      </w:r>
      <w:r>
        <w:rPr>
          <w:rFonts w:ascii="Liberation Serif" w:hAnsi="Liberation Serif" w:eastAsia="Segoe UI"/>
          <w:i/>
          <w:iCs/>
          <w:color w:val="000000"/>
          <w:sz w:val="24"/>
          <w:lang w:val="en-US" w:eastAsia="en-US" w:bidi="en-US"/>
        </w:rPr>
        <w:t>A Lei n.º 14.133, de 2021 em seu artigo 25, §7º</w:t>
      </w:r>
      <w:r>
        <w:fldChar w:fldCharType="end"/>
      </w:r>
      <w:r>
        <w:rPr>
          <w:rFonts w:ascii="Liberation Serif" w:hAnsi="Liberation Serif" w:eastAsia="Segoe UI"/>
          <w:i/>
          <w:iCs/>
          <w:color w:val="000000"/>
          <w:sz w:val="24"/>
          <w:lang w:val="en-US" w:eastAsia="en-US" w:bidi="en-US"/>
        </w:rPr>
        <w:t xml:space="preserve"> fixou a necessidade da estipulação no contrato, </w:t>
      </w:r>
      <w:r>
        <w:rPr>
          <w:rFonts w:ascii="Liberation Serif" w:hAnsi="Liberation Serif" w:eastAsia="Segoe UI"/>
          <w:b/>
          <w:bCs/>
          <w:i/>
          <w:iCs/>
          <w:color w:val="000000"/>
          <w:sz w:val="24"/>
          <w:lang w:val="en-US" w:eastAsia="en-US" w:bidi="en-US"/>
        </w:rPr>
        <w:t>independente do prazo de sua duração</w:t>
      </w:r>
      <w:r>
        <w:rPr>
          <w:rFonts w:ascii="Liberation Serif" w:hAnsi="Liberation Serif" w:eastAsia="Segoe UI"/>
          <w:i/>
          <w:iCs/>
          <w:color w:val="000000"/>
          <w:sz w:val="24"/>
          <w:lang w:val="en-US" w:eastAsia="en-US" w:bidi="en-US"/>
        </w:rPr>
        <w:t xml:space="preserve">, de índice de reajustamento de preço, com data-base vinculada à data do orçamento estimado. </w:t>
      </w:r>
    </w:p>
    <w:p>
      <w:r>
        <w:rPr>
          <w:rFonts w:ascii="Liberation Serif" w:hAnsi="Liberation Serif" w:eastAsia="Segoe UI"/>
          <w:i/>
          <w:iCs/>
          <w:color w:val="000000"/>
          <w:sz w:val="24"/>
          <w:lang w:val="en-US" w:eastAsia="en-US" w:bidi="en-US"/>
        </w:rPr>
        <w:t>Vale destacar que o aludido entendimento já vinha sendo adotado nos modelos da Advocacia-Geral da União, com base no entendimento do Tribunal de Contas da União (Acórdão nº 7184/2018 - Segunda Câmara, no Acórdão nº 2205/2016-TCU-Plenário) e no Parecer nº 79/2019/DECOR/CGU/AGU, aprovado nos termos do Despacho nº 480/2020/DECOR/CGU/AGU, pelo Despacho n. 00496/2020/DECOR/CGU/AGU e Despacho n. 00643/2020/GAB/CGU/AGU (NUP 08008.000351/2017-17).</w:t>
      </w:r>
    </w:p>
    <w:p>
      <w:r>
        <w:rPr>
          <w:rFonts w:ascii="Liberation Serif" w:hAnsi="Liberation Serif" w:eastAsia="Segoe UI"/>
          <w:i/>
          <w:iCs/>
          <w:color w:val="000000"/>
          <w:sz w:val="24"/>
          <w:lang w:val="en-US" w:eastAsia="en-US" w:bidi="en-US"/>
        </w:rPr>
        <w:t xml:space="preserve">A </w:t>
      </w:r>
      <w:hyperlink r:id="rId5">
        <w:r>
          <w:rPr>
            <w:rFonts w:ascii="Liberation Serif" w:hAnsi="Liberation Serif" w:eastAsia="Segoe UI"/>
            <w:i/>
            <w:iCs/>
            <w:color w:val="000000"/>
            <w:sz w:val="24"/>
            <w:lang w:val="en-US" w:eastAsia="en-US" w:bidi="en-US"/>
          </w:rPr>
          <w:t>Lei n.º 14.133, de 2021</w:t>
        </w:r>
      </w:hyperlink>
      <w:r>
        <w:rPr>
          <w:rFonts w:ascii="Liberation Serif" w:hAnsi="Liberation Serif" w:eastAsia="Segoe UI"/>
          <w:i/>
          <w:iCs/>
          <w:color w:val="000000"/>
          <w:sz w:val="24"/>
          <w:lang w:val="en-US" w:eastAsia="en-US" w:bidi="en-US"/>
        </w:rPr>
        <w:t xml:space="preserve"> inova quanto à possibilidade do estabelecimento de mais de um índice específico ou setorial, desde que consentâneo com a realidade de mercado dos respectivos insumos. Assim, caso a contratação envolva vários insumos, resta a possibilidade da fixação de mais de um índice de reajuste com o intuito de melhor refletir a variação de custo sofrida.</w:t>
      </w:r>
    </w:p>
    <w:p>
      <w:r>
        <w:rPr>
          <w:rFonts w:ascii="Liberation Serif" w:hAnsi="Liberation Serif" w:eastAsia="Segoe UI"/>
          <w:i/>
          <w:iCs/>
          <w:color w:val="000000"/>
          <w:sz w:val="24"/>
          <w:lang w:val="en-US" w:eastAsia="en-US" w:bidi="en-US"/>
        </w:rPr>
        <w:t xml:space="preserve">Importa enfatizar que o marco inicial para a contagem da anualidade é a </w:t>
      </w:r>
      <w:r>
        <w:rPr>
          <w:rFonts w:ascii="Liberation Serif" w:hAnsi="Liberation Serif" w:eastAsia="Segoe UI"/>
          <w:b/>
          <w:bCs/>
          <w:i/>
          <w:iCs/>
          <w:color w:val="000000"/>
          <w:sz w:val="24"/>
          <w:lang w:val="en-US" w:eastAsia="en-US" w:bidi="en-US"/>
        </w:rPr>
        <w:t>data do orçamento estimado</w:t>
      </w:r>
      <w:r>
        <w:rPr>
          <w:rFonts w:ascii="Liberation Serif" w:hAnsi="Liberation Serif" w:eastAsia="Segoe UI"/>
          <w:i/>
          <w:iCs/>
          <w:color w:val="000000"/>
          <w:sz w:val="24"/>
          <w:lang w:val="en-US" w:eastAsia="en-US" w:bidi="en-US"/>
        </w:rPr>
        <w:t>, o que representa um aperfeiçoamento em relação à sistemática anterior. Isso torna indispensável que o orçamento contenha a data específica a que se refere.</w:t>
      </w:r>
    </w:p>
  </w:comment>
  <w:comment w:id="28"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O cômputo do valor total do Termo de Contrato levará em conta o período inicial de vigência estabelecido.</w:t>
      </w:r>
    </w:p>
  </w:comment>
  <w:comment w:id="29"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w:t>
      </w:r>
      <w:r>
        <w:fldChar w:fldCharType="begin"/>
      </w:r>
      <w:r>
        <w:instrText> HYPERLINK "http://www.planalto.gov.br/ccivil_03/_ato2019-2022/2021/lei/L14133.htm" \l "art25§7"</w:instrText>
      </w:r>
      <w:r>
        <w:fldChar w:fldCharType="separate"/>
      </w:r>
      <w:r>
        <w:rPr>
          <w:rFonts w:ascii="Liberation Serif" w:hAnsi="Liberation Serif" w:eastAsia="Segoe UI"/>
          <w:i/>
          <w:iCs/>
          <w:color w:val="000000"/>
          <w:sz w:val="24"/>
          <w:lang w:val="en-US" w:eastAsia="en-US" w:bidi="en-US"/>
        </w:rPr>
        <w:t>A Lei n.º 14.133, de 2021 em seu artigo 25, §7º</w:t>
      </w:r>
      <w:r>
        <w:fldChar w:fldCharType="end"/>
      </w:r>
      <w:r>
        <w:rPr>
          <w:rFonts w:ascii="Liberation Serif" w:hAnsi="Liberation Serif" w:eastAsia="Segoe UI"/>
          <w:i/>
          <w:iCs/>
          <w:color w:val="000000"/>
          <w:sz w:val="24"/>
          <w:lang w:val="en-US" w:eastAsia="en-US" w:bidi="en-US"/>
        </w:rPr>
        <w:t xml:space="preserve"> fixou a necessidade da estipulação no contrato, </w:t>
      </w:r>
      <w:r>
        <w:rPr>
          <w:rFonts w:ascii="Liberation Serif" w:hAnsi="Liberation Serif" w:eastAsia="Segoe UI"/>
          <w:b/>
          <w:bCs/>
          <w:i/>
          <w:iCs/>
          <w:color w:val="000000"/>
          <w:sz w:val="24"/>
          <w:lang w:val="en-US" w:eastAsia="en-US" w:bidi="en-US"/>
        </w:rPr>
        <w:t>independente do prazo de sua duração</w:t>
      </w:r>
      <w:r>
        <w:rPr>
          <w:rFonts w:ascii="Liberation Serif" w:hAnsi="Liberation Serif" w:eastAsia="Segoe UI"/>
          <w:i/>
          <w:iCs/>
          <w:color w:val="000000"/>
          <w:sz w:val="24"/>
          <w:lang w:val="en-US" w:eastAsia="en-US" w:bidi="en-US"/>
        </w:rPr>
        <w:t xml:space="preserve">, de índice de reajustamento de preço, com data-base vinculada à data do orçamento estimado. </w:t>
      </w:r>
    </w:p>
    <w:p>
      <w:r>
        <w:rPr>
          <w:rFonts w:ascii="Liberation Serif" w:hAnsi="Liberation Serif" w:eastAsia="Segoe UI"/>
          <w:i/>
          <w:iCs/>
          <w:color w:val="000000"/>
          <w:sz w:val="24"/>
          <w:lang w:val="en-US" w:eastAsia="en-US" w:bidi="en-US"/>
        </w:rPr>
        <w:t>Vale destacar que o aludido entendimento já vinha sendo adotado nos modelos da Advocacia-Geral da União, com base no entendimento do Tribunal de Contas da União (Acórdão nº 7184/2018 - Segunda Câmara, no Acórdão nº 2205/2016-TCU-Plenário) e no Parecer nº 79/2019/DECOR/CGU/AGU, aprovado nos termos do Despacho nº 480/2020/DECOR/CGU/AGU, pelo Despacho n. 00496/2020/DECOR/CGU/AGU e Despacho n. 00643/2020/GAB/CGU/AGU (NUP 08008.000351/2017-17).</w:t>
      </w:r>
    </w:p>
    <w:p>
      <w:r>
        <w:rPr>
          <w:rFonts w:ascii="Liberation Serif" w:hAnsi="Liberation Serif" w:eastAsia="Segoe UI"/>
          <w:i/>
          <w:iCs/>
          <w:color w:val="000000"/>
          <w:sz w:val="24"/>
          <w:lang w:val="en-US" w:eastAsia="en-US" w:bidi="en-US"/>
        </w:rPr>
        <w:t xml:space="preserve">A </w:t>
      </w:r>
      <w:hyperlink r:id="rId6">
        <w:r>
          <w:rPr>
            <w:rFonts w:ascii="Liberation Serif" w:hAnsi="Liberation Serif" w:eastAsia="Segoe UI"/>
            <w:i/>
            <w:iCs/>
            <w:color w:val="000000"/>
            <w:sz w:val="24"/>
            <w:lang w:val="en-US" w:eastAsia="en-US" w:bidi="en-US"/>
          </w:rPr>
          <w:t>Lei n.º 14.133, de 2021</w:t>
        </w:r>
      </w:hyperlink>
      <w:r>
        <w:rPr>
          <w:rFonts w:ascii="Liberation Serif" w:hAnsi="Liberation Serif" w:eastAsia="Segoe UI"/>
          <w:i/>
          <w:iCs/>
          <w:color w:val="000000"/>
          <w:sz w:val="24"/>
          <w:lang w:val="en-US" w:eastAsia="en-US" w:bidi="en-US"/>
        </w:rPr>
        <w:t xml:space="preserve"> inova quanto à possibilidade do estabelecimento de mais de um índice específico ou setorial, desde que consentâneo com a realidade de mercado dos respectivos insumos. Assim, caso a contratação envolva vários insumos, resta a possibilidade da fixação de mais de um índice de reajuste com o intuito de melhor refletir a variação de custo sofrida.</w:t>
      </w:r>
    </w:p>
    <w:p>
      <w:r>
        <w:rPr>
          <w:rFonts w:ascii="Liberation Serif" w:hAnsi="Liberation Serif" w:eastAsia="Segoe UI"/>
          <w:i/>
          <w:iCs/>
          <w:color w:val="000000"/>
          <w:sz w:val="24"/>
          <w:lang w:val="en-US" w:eastAsia="en-US" w:bidi="en-US"/>
        </w:rPr>
        <w:t xml:space="preserve">Importa enfatizar que o marco inicial para a contagem da anualidade é a </w:t>
      </w:r>
      <w:r>
        <w:rPr>
          <w:rFonts w:ascii="Liberation Serif" w:hAnsi="Liberation Serif" w:eastAsia="Segoe UI"/>
          <w:b/>
          <w:bCs/>
          <w:i/>
          <w:iCs/>
          <w:color w:val="000000"/>
          <w:sz w:val="24"/>
          <w:lang w:val="en-US" w:eastAsia="en-US" w:bidi="en-US"/>
        </w:rPr>
        <w:t>data do orçamento estimado</w:t>
      </w:r>
      <w:r>
        <w:rPr>
          <w:rFonts w:ascii="Liberation Serif" w:hAnsi="Liberation Serif" w:eastAsia="Segoe UI"/>
          <w:i/>
          <w:iCs/>
          <w:color w:val="000000"/>
          <w:sz w:val="24"/>
          <w:lang w:val="en-US" w:eastAsia="en-US" w:bidi="en-US"/>
        </w:rPr>
        <w:t>, o que representa um aperfeiçoamento em relação à sistemática anterior. Isso torna indispensável que o orçamento contenha a data específica a que se refere.</w:t>
      </w:r>
    </w:p>
  </w:comment>
  <w:comment w:id="30" w:author="Autor" w:date="0-00-00T00:00:00Z" w:initials="A">
    <w:p>
      <w:r>
        <w:rPr>
          <w:rFonts w:ascii="Liberation Serif" w:hAnsi="Liberation Serif" w:eastAsia="Segoe UI"/>
          <w:b/>
          <w:bCs/>
          <w:i/>
          <w:iCs/>
          <w:color w:val="000000"/>
          <w:sz w:val="24"/>
          <w:lang w:val="en-US" w:eastAsia="en-US" w:bidi="en-US"/>
        </w:rPr>
        <w:t>Nota Explicativa 1</w:t>
      </w:r>
      <w:r>
        <w:rPr>
          <w:rFonts w:ascii="Liberation Serif" w:hAnsi="Liberation Serif" w:eastAsia="Segoe UI"/>
          <w:i/>
          <w:iCs/>
          <w:color w:val="000000"/>
          <w:sz w:val="24"/>
          <w:lang w:val="en-US" w:eastAsia="en-US" w:bidi="en-US"/>
        </w:rPr>
        <w:t xml:space="preserve">: A Administração deverá atentar para que o índice utilizado seja o indicador mais próximo da efetiva variação dos preços dos bens a serem fornecidos, “...o qual deverá ser preferencialmente um índice setorial ou específico, e, apenas na ausência de tal índice, um índice geral, o qual deverá ser o mais conservador possível de forma a não onerar injustificadamente a administração...” – TCU, Ac. nº 114/2013-Plenário. </w:t>
      </w:r>
    </w:p>
    <w:p>
      <w:r>
        <w:rPr>
          <w:rFonts w:ascii="Liberation Serif" w:hAnsi="Liberation Serif" w:eastAsia="Segoe UI"/>
          <w:sz w:val="24"/>
          <w:lang w:val="en-US" w:eastAsia="en-US" w:bidi="en-US"/>
        </w:rPr>
      </w:r>
    </w:p>
    <w:p>
      <w:r>
        <w:rPr>
          <w:rFonts w:ascii="Liberation Serif" w:hAnsi="Liberation Serif" w:eastAsia="Segoe UI"/>
          <w:b/>
          <w:bCs/>
          <w:i/>
          <w:iCs/>
          <w:color w:val="000000"/>
          <w:sz w:val="24"/>
          <w:lang w:val="en-US" w:eastAsia="en-US" w:bidi="en-US"/>
        </w:rPr>
        <w:t xml:space="preserve">Nota Explicativa 2: </w:t>
      </w:r>
      <w:r>
        <w:rPr>
          <w:rFonts w:ascii="Liberation Serif" w:hAnsi="Liberation Serif" w:eastAsia="Segoe UI"/>
          <w:i/>
          <w:iCs/>
          <w:color w:val="000000"/>
          <w:sz w:val="24"/>
          <w:lang w:val="en-US" w:eastAsia="en-US" w:bidi="en-US"/>
        </w:rPr>
        <w:t>A Administração poderá, ainda, utilizar índices diferenciados, inclusive mais de um, de forma justificada, de acordo com as peculiaridades envolvidas no objeto contratual (</w:t>
      </w:r>
      <w:r>
        <w:fldChar w:fldCharType="begin"/>
      </w:r>
      <w:r>
        <w:instrText> HYPERLINK "http://www.planalto.gov.br/ccivil_03/_ato2019-2022/2021/lei/L14133.htm" \l "art25§7"</w:instrText>
      </w:r>
      <w:r>
        <w:fldChar w:fldCharType="separate"/>
      </w:r>
      <w:r>
        <w:rPr>
          <w:rFonts w:ascii="Liberation Serif" w:hAnsi="Liberation Serif" w:eastAsia="Segoe UI"/>
          <w:i/>
          <w:iCs/>
          <w:color w:val="000000"/>
          <w:sz w:val="24"/>
          <w:lang w:val="en-US" w:eastAsia="en-US" w:bidi="en-US"/>
        </w:rPr>
        <w:t>art. 25, § 7º, da Lei n.º 14.133, de 2021</w:t>
      </w:r>
      <w:r>
        <w:fldChar w:fldCharType="end"/>
      </w:r>
      <w:r>
        <w:rPr>
          <w:rFonts w:ascii="Liberation Serif" w:hAnsi="Liberation Serif" w:eastAsia="Segoe UI"/>
          <w:i/>
          <w:iCs/>
          <w:color w:val="000000"/>
          <w:sz w:val="24"/>
          <w:lang w:val="en-US" w:eastAsia="en-US" w:bidi="en-US"/>
        </w:rPr>
        <w:t xml:space="preserve">). Caso haja a utilização de mais de um índice, deverá a Administração ajustar a redação da cláusula de modo a especificar o insumo respectivo sobre o qual incidirá cada índice de correção. </w:t>
      </w:r>
    </w:p>
  </w:comment>
  <w:comment w:id="31" w:author="Autor" w:date="0-00-00T00:00:00Z" w:initials="A">
    <w:p>
      <w:r>
        <w:rPr>
          <w:rFonts w:ascii="Liberation Serif" w:hAnsi="Liberation Serif" w:eastAsia="Segoe UI"/>
          <w:b/>
          <w:i/>
          <w:sz w:val="24"/>
          <w:lang w:val="en-US" w:eastAsia="en-US" w:bidi="en-US"/>
        </w:rPr>
        <w:t>Nota explicativa:</w:t>
      </w:r>
      <w:r>
        <w:rPr>
          <w:rFonts w:ascii="Liberation Serif" w:hAnsi="Liberation Serif" w:eastAsia="Segoe UI"/>
          <w:i/>
          <w:sz w:val="24"/>
          <w:lang w:val="en-US" w:eastAsia="en-US" w:bidi="en-US"/>
        </w:rPr>
        <w:t xml:space="preserve"> As obrigações que seguem, tanto do contratante como do contratado, são meramente ilustrativas. O órgão ou entidade licitante deverá adaptá-las ou suprimi-las, em conformidade com as peculiaridades do serviço de engenharia de que necessita.</w:t>
      </w:r>
    </w:p>
  </w:comment>
  <w:comment w:id="32" w:author="Autor" w:date="0-00-00T00:00:00Z" w:initials="A">
    <w:p>
      <w:r>
        <w:rPr>
          <w:rFonts w:ascii="Liberation Serif" w:hAnsi="Liberation Serif" w:eastAsia="Segoe UI"/>
          <w:b/>
          <w:bCs/>
          <w:i/>
          <w:iCs/>
          <w:color w:val="000000"/>
          <w:sz w:val="24"/>
          <w:lang w:val="en-US" w:eastAsia="en-US" w:bidi="en-US"/>
        </w:rPr>
        <w:t xml:space="preserve">Nota Explicativa: </w:t>
      </w:r>
      <w:r>
        <w:rPr>
          <w:rFonts w:ascii="Liberation Serif" w:hAnsi="Liberation Serif" w:eastAsia="Segoe UI"/>
          <w:i/>
          <w:iCs/>
          <w:color w:val="000000"/>
          <w:sz w:val="24"/>
          <w:lang w:val="en-US" w:eastAsia="en-US" w:bidi="en-US"/>
        </w:rPr>
        <w:t xml:space="preserve">Nos termos do </w:t>
      </w:r>
      <w:r>
        <w:fldChar w:fldCharType="begin"/>
      </w:r>
      <w:r>
        <w:instrText> HYPERLINK "http://www.planalto.gov.br/ccivil_03/_ato2019-2022/2021/lei/L14133.htm" \l "art123"</w:instrText>
      </w:r>
      <w:r>
        <w:fldChar w:fldCharType="separate"/>
      </w:r>
      <w:r>
        <w:rPr>
          <w:rFonts w:ascii="Liberation Serif" w:hAnsi="Liberation Serif" w:eastAsia="Segoe UI"/>
          <w:i/>
          <w:iCs/>
          <w:color w:val="000000"/>
          <w:sz w:val="24"/>
          <w:lang w:val="en-US" w:eastAsia="en-US" w:bidi="en-US"/>
        </w:rPr>
        <w:t>art. 123 da Lei nº 14.133/21</w:t>
      </w:r>
      <w:r>
        <w:fldChar w:fldCharType="end"/>
      </w:r>
      <w:r>
        <w:rPr>
          <w:rFonts w:ascii="Liberation Serif" w:hAnsi="Liberation Serif" w:eastAsia="Segoe UI"/>
          <w:i/>
          <w:iCs/>
          <w:color w:val="000000"/>
          <w:sz w:val="24"/>
          <w:lang w:val="en-US" w:eastAsia="en-US" w:bidi="en-US"/>
        </w:rPr>
        <w:t xml:space="preserve">, a Administração tem o dever de decidir questões contratuais que lhe são apresentadas. O prazo do subitem 8.10.1 pode ser especificado pela Administração, conforme a complexidade do objeto contratual e os trâmites internos das áreas envolvidas na execução contratual. Caso não haja especificação, o </w:t>
      </w:r>
      <w:r>
        <w:fldChar w:fldCharType="begin"/>
      </w:r>
      <w:r>
        <w:instrText> HYPERLINK "http://www.planalto.gov.br/ccivil_03/_ato2019-2022/2021/lei/L14133.htm" \l "art123"</w:instrText>
      </w:r>
      <w:r>
        <w:fldChar w:fldCharType="separate"/>
      </w:r>
      <w:r>
        <w:rPr>
          <w:rFonts w:ascii="Liberation Serif" w:hAnsi="Liberation Serif" w:eastAsia="Segoe UI"/>
          <w:i/>
          <w:iCs/>
          <w:color w:val="000000"/>
          <w:sz w:val="24"/>
          <w:lang w:val="en-US" w:eastAsia="en-US" w:bidi="en-US"/>
        </w:rPr>
        <w:t>art. 123, parágrafo único, da Lei n.º 14.133, de 2021</w:t>
      </w:r>
      <w:r>
        <w:fldChar w:fldCharType="end"/>
      </w:r>
      <w:r>
        <w:rPr>
          <w:rFonts w:ascii="Liberation Serif" w:hAnsi="Liberation Serif" w:eastAsia="Segoe UI"/>
          <w:i/>
          <w:iCs/>
          <w:color w:val="000000"/>
          <w:sz w:val="24"/>
          <w:lang w:val="en-US" w:eastAsia="en-US" w:bidi="en-US"/>
        </w:rPr>
        <w:t xml:space="preserve">, e o </w:t>
      </w:r>
      <w:r>
        <w:fldChar w:fldCharType="begin"/>
      </w:r>
      <w:r>
        <w:instrText> HYPERLINK "https://in.gov.br/en/web/dou/-/decreto-n-11.246-de-27-de-outubro-de-2022-440217660" \l "art28"</w:instrText>
      </w:r>
      <w:r>
        <w:fldChar w:fldCharType="separate"/>
      </w:r>
      <w:r>
        <w:rPr>
          <w:rFonts w:ascii="Liberation Serif" w:hAnsi="Liberation Serif" w:eastAsia="Segoe UI"/>
          <w:i/>
          <w:iCs/>
          <w:color w:val="000000"/>
          <w:sz w:val="24"/>
          <w:lang w:val="en-US" w:eastAsia="en-US" w:bidi="en-US"/>
        </w:rPr>
        <w:t>art. 28, do Decreto n.º 11.246, de 2022</w:t>
      </w:r>
      <w:r>
        <w:fldChar w:fldCharType="end"/>
      </w:r>
      <w:r>
        <w:rPr>
          <w:rFonts w:ascii="Liberation Serif" w:hAnsi="Liberation Serif" w:eastAsia="Segoe UI"/>
          <w:i/>
          <w:iCs/>
          <w:color w:val="000000"/>
          <w:sz w:val="24"/>
          <w:lang w:val="en-US" w:eastAsia="en-US" w:bidi="en-US"/>
        </w:rPr>
        <w:t>, estabelecem que o prazo será de um mês.</w:t>
      </w:r>
    </w:p>
  </w:comment>
  <w:comment w:id="33"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Esta disposição decorre do </w:t>
      </w:r>
      <w:r>
        <w:fldChar w:fldCharType="begin"/>
      </w:r>
      <w:r>
        <w:instrText> HYPERLINK "http://www.planalto.gov.br/ccivil_03/_ato2019-2022/2021/lei/L14133.htm" \l "art137§4"</w:instrText>
      </w:r>
      <w:r>
        <w:fldChar w:fldCharType="separate"/>
      </w:r>
      <w:r>
        <w:rPr>
          <w:rFonts w:ascii="Liberation Serif" w:hAnsi="Liberation Serif" w:eastAsia="Segoe UI"/>
          <w:i/>
          <w:iCs/>
          <w:color w:val="000000"/>
          <w:sz w:val="24"/>
          <w:lang w:val="en-US" w:eastAsia="en-US" w:bidi="en-US"/>
        </w:rPr>
        <w:t>§4º, do art. 137, da Lei nº 14.133, de 2021</w:t>
      </w:r>
      <w:r>
        <w:fldChar w:fldCharType="end"/>
      </w:r>
      <w:r>
        <w:rPr>
          <w:rFonts w:ascii="Liberation Serif" w:hAnsi="Liberation Serif" w:eastAsia="Segoe UI"/>
          <w:i/>
          <w:iCs/>
          <w:color w:val="000000"/>
          <w:sz w:val="24"/>
          <w:lang w:val="en-US" w:eastAsia="en-US" w:bidi="en-US"/>
        </w:rPr>
        <w:t>.</w:t>
      </w:r>
    </w:p>
  </w:comment>
  <w:comment w:id="34" w:author="Autor" w:date="0-00-00T00:00:00Z" w:initials="A">
    <w:p>
      <w:r>
        <w:rPr>
          <w:rFonts w:ascii="Liberation Serif" w:hAnsi="Liberation Serif" w:eastAsia="Segoe UI"/>
          <w:b/>
          <w:bCs/>
          <w:i/>
          <w:iCs/>
          <w:sz w:val="24"/>
          <w:lang w:val="en-US" w:eastAsia="en-US" w:bidi="en-US"/>
        </w:rPr>
        <w:t>Nota Explicativa 1:</w:t>
      </w:r>
      <w:r>
        <w:rPr>
          <w:rFonts w:ascii="Liberation Serif" w:hAnsi="Liberation Serif" w:eastAsia="Segoe UI"/>
          <w:i/>
          <w:iCs/>
          <w:sz w:val="24"/>
          <w:lang w:val="en-US" w:eastAsia="en-US" w:bidi="en-US"/>
        </w:rPr>
        <w:t xml:space="preserve"> No caso de órgãos ou entidades públicas vinculados ao Ministério da Economia, considerada a edição da </w:t>
      </w:r>
      <w:hyperlink r:id="rId7">
        <w:r>
          <w:rPr>
            <w:rFonts w:ascii="Liberation Serif" w:hAnsi="Liberation Serif" w:eastAsia="Segoe UI"/>
            <w:i/>
            <w:iCs/>
            <w:sz w:val="24"/>
            <w:lang w:val="en-US" w:eastAsia="en-US" w:bidi="en-US"/>
          </w:rPr>
          <w:t>Portaria ME n° 1.144, de 3 de fevereiro de 2021</w:t>
        </w:r>
      </w:hyperlink>
      <w:r>
        <w:rPr>
          <w:rFonts w:ascii="Liberation Serif" w:hAnsi="Liberation Serif" w:eastAsia="Segoe UI"/>
          <w:i/>
          <w:iCs/>
          <w:sz w:val="24"/>
          <w:lang w:val="en-US" w:eastAsia="en-US" w:bidi="en-US"/>
        </w:rPr>
        <w:t xml:space="preserve">, que disciplina os procedimentos e as rotinas para prevenção do nepotismo e responsabilização das suas ocorrências no âmbito daquele Ministério, necessário incluir, nesse item, subitem com o seguinte teor: </w:t>
      </w:r>
    </w:p>
    <w:p>
      <w:r>
        <w:rPr>
          <w:rFonts w:ascii="Liberation Serif" w:hAnsi="Liberation Serif" w:eastAsia="Segoe UI"/>
          <w:i/>
          <w:iCs/>
          <w:sz w:val="24"/>
          <w:lang w:val="en-US" w:eastAsia="en-US" w:bidi="en-US"/>
        </w:rPr>
        <w:t xml:space="preserve">“.x. Apresentar as declarações firmadas pelos terceirizados indicados aos postos de serviços contratados, em conformidade com o </w:t>
      </w:r>
      <w:r>
        <w:fldChar w:fldCharType="begin"/>
      </w:r>
      <w:r>
        <w:instrText> HYPERLINK "http://www.planalto.gov.br/ccivil_03/_ato2019-2022/2021/lei/L14133.htm" \l "art5"</w:instrText>
      </w:r>
      <w:r>
        <w:fldChar w:fldCharType="separate"/>
      </w:r>
      <w:r>
        <w:rPr>
          <w:rFonts w:ascii="Liberation Serif" w:hAnsi="Liberation Serif" w:eastAsia="Segoe UI"/>
          <w:i/>
          <w:iCs/>
          <w:sz w:val="24"/>
          <w:lang w:val="en-US" w:eastAsia="en-US" w:bidi="en-US"/>
        </w:rPr>
        <w:t>artigo 5°, inciso I, da Portaria ME n° 1.144, de 3 de fevereiro de 2021</w:t>
      </w:r>
      <w:r>
        <w:fldChar w:fldCharType="end"/>
      </w:r>
      <w:r>
        <w:rPr>
          <w:rFonts w:ascii="Liberation Serif" w:hAnsi="Liberation Serif" w:eastAsia="Segoe UI"/>
          <w:i/>
          <w:iCs/>
          <w:sz w:val="24"/>
          <w:lang w:val="en-US" w:eastAsia="en-US" w:bidi="en-US"/>
        </w:rPr>
        <w:t xml:space="preserve">, atestando ausência de relação familiar ou de parentesco que importe a prática de nepotismo, nos termos do disposto no </w:t>
      </w:r>
      <w:r>
        <w:fldChar w:fldCharType="begin"/>
      </w:r>
      <w:r>
        <w:instrText> HYPERLINK "http://www.planalto.gov.br/ccivil_03/_ato2019-2022/2021/lei/L14133.htm" \l "art2"</w:instrText>
      </w:r>
      <w:r>
        <w:fldChar w:fldCharType="separate"/>
      </w:r>
      <w:r>
        <w:rPr>
          <w:rFonts w:ascii="Liberation Serif" w:hAnsi="Liberation Serif" w:eastAsia="Segoe UI"/>
          <w:i/>
          <w:iCs/>
          <w:sz w:val="24"/>
          <w:lang w:val="en-US" w:eastAsia="en-US" w:bidi="en-US"/>
        </w:rPr>
        <w:t>inciso II do artigo 2° daquele normativo.”</w:t>
      </w:r>
      <w:r>
        <w:fldChar w:fldCharType="end"/>
      </w:r>
    </w:p>
  </w:comment>
  <w:comment w:id="35"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Cada vício, defeito ou incorreção verificada pelo fiscal do contrato reveste-se de peculiar característica. Por isso que, diante da natureza do objeto contratado, é impróprio determinar prazo único para as correções devidas, devendo o fiscal do contrato, avaliar o caso concreto, para o fim de fixar prazo para as correções.</w:t>
      </w:r>
    </w:p>
  </w:comment>
  <w:comment w:id="36" w:author="Autor" w:date="0-00-00T00:00:00Z" w:initials="A">
    <w:p>
      <w:r>
        <w:rPr>
          <w:rFonts w:ascii="Liberation Serif" w:hAnsi="Liberation Serif" w:eastAsia="Segoe UI"/>
          <w:b/>
          <w:bCs/>
          <w:i/>
          <w:iCs/>
          <w:color w:val="000000"/>
          <w:sz w:val="24"/>
          <w:lang w:val="en-US" w:eastAsia="en-US" w:bidi="en-US"/>
        </w:rPr>
        <w:t>Nota explicativa 1:</w:t>
      </w:r>
      <w:r>
        <w:rPr>
          <w:rFonts w:ascii="Liberation Serif" w:hAnsi="Liberation Serif" w:eastAsia="Segoe UI"/>
          <w:i/>
          <w:iCs/>
          <w:color w:val="000000"/>
          <w:sz w:val="24"/>
          <w:lang w:val="en-US" w:eastAsia="en-US" w:bidi="en-US"/>
        </w:rPr>
        <w:t xml:space="preserve"> O artigo 193 do CTN preceitua que a prova da quitação de todos os tributos devidos dar-se-á no âmbito da Fazenda Pública interessada. Portanto, a comprovação de inscrição no cadastro de contribuinte e regularidade fiscal correspondente considerará a natureza da atividade objeto da contratação.</w:t>
      </w:r>
    </w:p>
    <w:p>
      <w:r>
        <w:rPr>
          <w:rFonts w:ascii="Liberation Serif" w:hAnsi="Liberation Serif" w:eastAsia="Segoe UI"/>
          <w:i/>
          <w:iCs/>
          <w:color w:val="000000"/>
          <w:sz w:val="24"/>
          <w:lang w:val="en-US" w:eastAsia="en-US" w:bidi="en-US"/>
        </w:rPr>
        <w:t xml:space="preserve">Via de regra, a prestação de serviços de modo geral é hipótese de incidência de tributação municipal (Imposto Sobre Serviços de Qualquer Natureza - ISSQN), conforme lista anexa </w:t>
      </w:r>
      <w:hyperlink r:id="rId8">
        <w:r>
          <w:rPr>
            <w:rFonts w:ascii="Liberation Serif" w:hAnsi="Liberation Serif" w:eastAsia="Segoe UI"/>
            <w:i/>
            <w:iCs/>
            <w:color w:val="000000"/>
            <w:sz w:val="24"/>
            <w:lang w:val="en-US" w:eastAsia="en-US" w:bidi="en-US"/>
          </w:rPr>
          <w:t>à Lei Complementar nº 116/2003</w:t>
        </w:r>
      </w:hyperlink>
      <w:r>
        <w:rPr>
          <w:rFonts w:ascii="Liberation Serif" w:hAnsi="Liberation Serif" w:eastAsia="Segoe UI"/>
          <w:i/>
          <w:iCs/>
          <w:color w:val="000000"/>
          <w:sz w:val="24"/>
          <w:lang w:val="en-US" w:eastAsia="en-US" w:bidi="en-US"/>
        </w:rPr>
        <w:t xml:space="preserve">.  </w:t>
      </w:r>
    </w:p>
    <w:p>
      <w:r>
        <w:rPr>
          <w:rFonts w:ascii="Liberation Serif" w:hAnsi="Liberation Serif" w:eastAsia="Segoe UI"/>
          <w:i/>
          <w:iCs/>
          <w:color w:val="000000"/>
          <w:sz w:val="24"/>
          <w:lang w:val="en-US" w:eastAsia="en-US" w:bidi="en-US"/>
        </w:rPr>
        <w:t>Existem, contudo, situações em que a prestação de um serviço pode dar ensejo à incidência de tributação estadual pelo ICMS. Como exemplos, citem-se os serviços de transporte interestadual e intermunicipal e os serviços de comunicação (</w:t>
      </w:r>
      <w:r>
        <w:fldChar w:fldCharType="begin"/>
      </w:r>
      <w:r>
        <w:instrText> HYPERLINK "https://www.planalto.gov.br/ccivil_03/constituicao/constituicao.htm" \l "art155"</w:instrText>
      </w:r>
      <w:r>
        <w:fldChar w:fldCharType="separate"/>
      </w:r>
      <w:r>
        <w:rPr>
          <w:rFonts w:ascii="Liberation Serif" w:hAnsi="Liberation Serif" w:eastAsia="Segoe UI"/>
          <w:i/>
          <w:iCs/>
          <w:color w:val="000000"/>
          <w:sz w:val="24"/>
          <w:lang w:val="en-US" w:eastAsia="en-US" w:bidi="en-US"/>
        </w:rPr>
        <w:t>art. 155, II, da CF/88</w:t>
      </w:r>
      <w:r>
        <w:fldChar w:fldCharType="end"/>
      </w:r>
      <w:r>
        <w:rPr>
          <w:rFonts w:ascii="Liberation Serif" w:hAnsi="Liberation Serif" w:eastAsia="Segoe UI"/>
          <w:i/>
          <w:iCs/>
          <w:color w:val="000000"/>
          <w:sz w:val="24"/>
          <w:lang w:val="en-US" w:eastAsia="en-US" w:bidi="en-US"/>
        </w:rPr>
        <w:t xml:space="preserve">), bem como as exceções expressamente previstas na lista da referida LC 116/2003. </w:t>
      </w:r>
    </w:p>
  </w:comment>
  <w:comment w:id="37" w:author="Autor" w:date="0-00-00T00:00:00Z" w:initials="A">
    <w:p>
      <w:r>
        <w:rPr>
          <w:rFonts w:ascii="Liberation Serif" w:hAnsi="Liberation Serif" w:eastAsia="Segoe UI"/>
          <w:b/>
          <w:bCs/>
          <w:i/>
          <w:iCs/>
          <w:sz w:val="24"/>
          <w:lang w:val="en-US" w:eastAsia="en-US" w:bidi="en-US"/>
        </w:rPr>
        <w:t>Nota Explicativa</w:t>
      </w:r>
      <w:r>
        <w:rPr>
          <w:rFonts w:ascii="Liberation Serif" w:hAnsi="Liberation Serif" w:eastAsia="Segoe UI"/>
          <w:i/>
          <w:iCs/>
          <w:sz w:val="24"/>
          <w:lang w:val="en-US" w:eastAsia="en-US" w:bidi="en-US"/>
        </w:rPr>
        <w:t>: O Termo de Referência deverá definir os profissionais que serão necessários à execução do objeto licitado para, então, permitir delimitar a necessidade de inscrição do Contratado nos conselhos profissionais competentes, podendo haver mais de um no caso equipe multidisciplinar ou de as competências exigidas serem comuns aos profissionais necessários à execução do objeto contratual. Para serviços de engenharia, os conselhos profissionais que normalmente fiscalizam os profissionais necessários são o CREA, o CAU e o CFT.</w:t>
      </w:r>
    </w:p>
  </w:comment>
  <w:comment w:id="38" w:author="Autor" w:date="0-00-00T00:00:00Z" w:initials="A">
    <w:p>
      <w:r>
        <w:rPr>
          <w:rFonts w:ascii="Liberation Serif" w:hAnsi="Liberation Serif" w:eastAsia="Segoe UI"/>
          <w:b/>
          <w:bCs/>
          <w:i/>
          <w:iCs/>
          <w:color w:val="000000"/>
          <w:sz w:val="24"/>
          <w:lang w:val="en-US" w:eastAsia="en-US" w:bidi="en-US"/>
        </w:rPr>
        <w:t xml:space="preserve">Nota Explicativa 1: </w:t>
      </w:r>
      <w:r>
        <w:rPr>
          <w:rFonts w:ascii="Liberation Serif" w:hAnsi="Liberation Serif" w:eastAsia="Segoe UI"/>
          <w:i/>
          <w:iCs/>
          <w:color w:val="000000"/>
          <w:sz w:val="24"/>
          <w:lang w:val="en-US" w:eastAsia="en-US" w:bidi="en-US"/>
        </w:rPr>
        <w:t xml:space="preserve">As cláusulas 10.1 a 10.12 são necessárias para cumprimento </w:t>
      </w:r>
      <w:hyperlink r:id="rId9">
        <w:r>
          <w:rPr>
            <w:rFonts w:ascii="Liberation Serif" w:hAnsi="Liberation Serif" w:eastAsia="Segoe UI"/>
            <w:i/>
            <w:iCs/>
            <w:color w:val="000000"/>
            <w:sz w:val="24"/>
            <w:lang w:val="en-US" w:eastAsia="en-US" w:bidi="en-US"/>
          </w:rPr>
          <w:t>da Lei nº 13.709, de 14 de agosto de 2018 (LGPD</w:t>
        </w:r>
      </w:hyperlink>
      <w:r>
        <w:rPr>
          <w:rFonts w:ascii="Liberation Serif" w:hAnsi="Liberation Serif" w:eastAsia="Segoe UI"/>
          <w:i/>
          <w:iCs/>
          <w:color w:val="000000"/>
          <w:sz w:val="24"/>
          <w:lang w:val="en-US" w:eastAsia="en-US" w:bidi="en-US"/>
        </w:rPr>
        <w:t>), caso a contratação envolva, de qualquer forma, o tratamento de dados pessoais, devendo ser incluída e ajustada nessa hipótese.</w:t>
      </w:r>
    </w:p>
    <w:p>
      <w:r>
        <w:rPr>
          <w:rFonts w:ascii="Liberation Serif" w:hAnsi="Liberation Serif" w:eastAsia="Segoe UI"/>
          <w:b/>
          <w:bCs/>
          <w:i/>
          <w:iCs/>
          <w:color w:val="000000"/>
          <w:sz w:val="24"/>
          <w:lang w:val="en-US" w:eastAsia="en-US" w:bidi="en-US"/>
        </w:rPr>
        <w:t xml:space="preserve">Nota Explicativa 2: </w:t>
      </w:r>
      <w:r>
        <w:rPr>
          <w:rFonts w:ascii="Liberation Serif" w:hAnsi="Liberation Serif" w:eastAsia="Segoe UI"/>
          <w:i/>
          <w:iCs/>
          <w:color w:val="000000"/>
          <w:sz w:val="24"/>
          <w:lang w:val="en-US" w:eastAsia="en-US" w:bidi="en-US"/>
        </w:rPr>
        <w:t>Caso o objeto do contrato envolva, ainda que indiretamente, o acesso ou o tratamento de dados pessoais, é possível que a Administração estabeleça modelagem contratual por meio da qual seja imposto ao Contratado o dever de disponibilizar à Administração a possibilidade de acesso direto a esses dados, o que deve se dar com todas as cautelas cabíveis em relação ao tema.</w:t>
      </w:r>
    </w:p>
    <w:p>
      <w:r>
        <w:rPr>
          <w:rFonts w:ascii="Liberation Serif" w:hAnsi="Liberation Serif" w:eastAsia="Segoe UI"/>
          <w:i/>
          <w:iCs/>
          <w:color w:val="000000"/>
          <w:sz w:val="24"/>
          <w:lang w:val="en-US" w:eastAsia="en-US" w:bidi="en-US"/>
        </w:rPr>
        <w:t>Vale lembrar que eventual requerimento administrativo do titular dos dados será direcionado à Administração, sendo certo que comandos oriundos de Autoridade Regulatória ou do Poder Judiciário serão igualmente direcionados à Administração, inclusive com risco de responsabilização objetiva. Por isso, em situações em que for justificável, fica a recomendação para que a Administração crie condições para que possa atender tempestivamente o requerimento do titular dos dados ou eventual comando regulatório ou judicial. Tudo isso para que a Administração tenha condições de atender o requerimento ou comando tempestivamente, sem depender exclusivamente do Contratado para tanto.</w:t>
      </w:r>
    </w:p>
    <w:p>
      <w:r>
        <w:rPr>
          <w:rFonts w:ascii="Liberation Serif" w:hAnsi="Liberation Serif" w:eastAsia="Segoe UI"/>
          <w:i/>
          <w:iCs/>
          <w:color w:val="000000"/>
          <w:sz w:val="24"/>
          <w:lang w:val="en-US" w:eastAsia="en-US" w:bidi="en-US"/>
        </w:rPr>
        <w:t>O tema deve ser avaliado pela Administração com base nos riscos da contratação em relação aos dados pessoais eventualmente envolvidos.</w:t>
      </w:r>
    </w:p>
  </w:comment>
  <w:comment w:id="39"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Conforme PARECER n. 00004/2022/CNMLC/CGU/AGU, é possível também a exigência de declaração, firmada por representante da empresa, de que seus empregados estão capacitados e/ou firmaram termo de responsabilidade de cumprimento da LGPD. Ademais, em situações específicas, é possível exigir tal providência de cada empregado. Incumbe ao Contratante avaliar a necessidade de medida dessa natureza. </w:t>
      </w:r>
    </w:p>
  </w:comment>
  <w:comment w:id="40"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Se o Contratante entender oportuno, é possível especificar, nesta cláusula, rotinas ou diligências mais adequadas ao objeto contratual respectivo. </w:t>
      </w:r>
    </w:p>
  </w:comment>
  <w:comment w:id="41" w:author="Autor" w:date="0-00-00T00:00:00Z" w:initials="A">
    <w:p>
      <w:r>
        <w:rPr>
          <w:rFonts w:ascii="Liberation Serif" w:hAnsi="Liberation Serif" w:eastAsia="Segoe UI"/>
          <w:b/>
          <w:bCs/>
          <w:i/>
          <w:iCs/>
          <w:color w:val="000000"/>
          <w:sz w:val="24"/>
          <w:lang w:val="en-US" w:eastAsia="en-US" w:bidi="en-US"/>
        </w:rPr>
        <w:t>Nota Explicativa 1</w:t>
      </w:r>
      <w:r>
        <w:rPr>
          <w:rFonts w:ascii="Liberation Serif" w:hAnsi="Liberation Serif" w:eastAsia="Segoe UI"/>
          <w:i/>
          <w:iCs/>
          <w:color w:val="000000"/>
          <w:sz w:val="24"/>
          <w:lang w:val="en-US" w:eastAsia="en-US" w:bidi="en-US"/>
        </w:rPr>
        <w:t xml:space="preserve">: Recomenda-se avaliar e, se for o caso, incluir disposição sobre transferência internacional de dados, estabelecendo alguma rotina para sua eventual realização. Trata-se de questão específica para contratos que envolvam o tratamento de dados no seu objeto, não sendo medida necessária para contratos em geral. </w:t>
      </w:r>
    </w:p>
    <w:p>
      <w:r>
        <w:rPr>
          <w:rFonts w:ascii="Liberation Serif" w:hAnsi="Liberation Serif" w:eastAsia="Segoe UI"/>
          <w:b/>
          <w:bCs/>
          <w:i/>
          <w:iCs/>
          <w:color w:val="000000"/>
          <w:sz w:val="24"/>
          <w:lang w:val="en-US" w:eastAsia="en-US" w:bidi="en-US"/>
        </w:rPr>
        <w:t>Nota explicativa 2:</w:t>
      </w:r>
      <w:r>
        <w:rPr>
          <w:rFonts w:ascii="Liberation Serif" w:hAnsi="Liberation Serif" w:eastAsia="Segoe UI"/>
          <w:i/>
          <w:iCs/>
          <w:color w:val="000000"/>
          <w:sz w:val="24"/>
          <w:lang w:val="en-US" w:eastAsia="en-US" w:bidi="en-US"/>
        </w:rPr>
        <w:t xml:space="preserve"> Todas as disposições da presente cláusula são meramente indicativas. Pode ser necessário que se suprimam algumas das obrigações ou se arrolem outras, conforme as peculiaridades do órgão e as especificações do serviço a ser executado.</w:t>
      </w:r>
    </w:p>
  </w:comment>
  <w:comment w:id="42" w:author="Autor" w:date="0-00-00T00:00:00Z" w:initials="A">
    <w:p>
      <w:r>
        <w:rPr>
          <w:rFonts w:ascii="Liberation Serif" w:hAnsi="Liberation Serif" w:eastAsia="Segoe UI"/>
          <w:sz w:val="24"/>
          <w:lang w:val="en-US" w:eastAsia="en-US" w:bidi="en-US"/>
        </w:rPr>
        <w:t>Nota Explicativa: Caso o adjudicatário não opte pela oferta de seguro-garantia, poderá ofertar a fiança bancária, a caução em dinheiro ou em títulos da dívida pública antes ou depois da assinatura do termo de contrato. Na segunda hipótese, deverão ser incluídos os subitens a seguir, com fundamento no item 3.1, alíneas “a”, “e”, e “f”, do Anexo VII-F, da Instrução Normativa SEGES/MP n.º 05/2017, aplicáveis por força da Instrução Normativa SEGES/ME n.º 98/2022.</w:t>
      </w:r>
    </w:p>
  </w:comment>
  <w:comment w:id="43" w:author="Autor" w:date="0-00-00T00:00:00Z" w:initials="A">
    <w:p>
      <w:r>
        <w:rPr>
          <w:rFonts w:ascii="Liberation Serif" w:hAnsi="Liberation Serif" w:eastAsia="Segoe UI"/>
          <w:b/>
          <w:bCs/>
          <w:i/>
          <w:iCs/>
          <w:color w:val="000000"/>
          <w:sz w:val="24"/>
          <w:lang w:val="en-US" w:eastAsia="en-US" w:bidi="en-US"/>
        </w:rPr>
        <w:t>Nota explicativa 1:</w:t>
      </w:r>
      <w:r>
        <w:rPr>
          <w:rFonts w:ascii="Liberation Serif" w:hAnsi="Liberation Serif" w:eastAsia="Segoe UI"/>
          <w:i/>
          <w:iCs/>
          <w:color w:val="000000"/>
          <w:sz w:val="24"/>
          <w:lang w:val="en-US" w:eastAsia="en-US" w:bidi="en-US"/>
        </w:rPr>
        <w:t xml:space="preserve"> O </w:t>
      </w:r>
      <w:r>
        <w:fldChar w:fldCharType="begin"/>
      </w:r>
      <w:r>
        <w:instrText> HYPERLINK "http://www.planalto.gov.br/ccivil_03/_ato2019-2022/2021/lei/L14133.htm" \l "art97"</w:instrText>
      </w:r>
      <w:r>
        <w:fldChar w:fldCharType="separate"/>
      </w:r>
      <w:r>
        <w:rPr>
          <w:rFonts w:ascii="Liberation Serif" w:hAnsi="Liberation Serif" w:eastAsia="Segoe UI"/>
          <w:i/>
          <w:iCs/>
          <w:color w:val="000000"/>
          <w:sz w:val="24"/>
          <w:lang w:val="en-US" w:eastAsia="en-US" w:bidi="en-US"/>
        </w:rPr>
        <w:t>art. 97, I, da Lei nº 14.133/21</w:t>
      </w:r>
      <w:r>
        <w:fldChar w:fldCharType="end"/>
      </w:r>
      <w:r>
        <w:rPr>
          <w:rFonts w:ascii="Liberation Serif" w:hAnsi="Liberation Serif" w:eastAsia="Segoe UI"/>
          <w:i/>
          <w:iCs/>
          <w:color w:val="000000"/>
          <w:sz w:val="24"/>
          <w:lang w:val="en-US" w:eastAsia="en-US" w:bidi="en-US"/>
        </w:rPr>
        <w:t xml:space="preserve">, somente prevê prazo de vigência “igual ou superior ao estabelecido no contrato principal” para a modalidade de seguro-garantia, o que se alinha à exceção prevista no </w:t>
      </w:r>
      <w:r>
        <w:fldChar w:fldCharType="begin"/>
      </w:r>
      <w:r>
        <w:instrText> HYPERLINK "https://www.in.gov.br/en/web/dou/-/circular-susep-n-662-de-11-de-abril-de-2022-392772088" \l "art7"</w:instrText>
      </w:r>
      <w:r>
        <w:fldChar w:fldCharType="separate"/>
      </w:r>
      <w:r>
        <w:rPr>
          <w:rFonts w:ascii="Liberation Serif" w:hAnsi="Liberation Serif" w:eastAsia="Segoe UI"/>
          <w:i/>
          <w:iCs/>
          <w:color w:val="000000"/>
          <w:sz w:val="24"/>
          <w:lang w:val="en-US" w:eastAsia="en-US" w:bidi="en-US"/>
        </w:rPr>
        <w:t>art. 7º, caput, da Circular SUSEP n° 662, de 11 de abril de 2022</w:t>
      </w:r>
      <w:r>
        <w:fldChar w:fldCharType="end"/>
      </w:r>
      <w:r>
        <w:rPr>
          <w:rFonts w:ascii="Liberation Serif" w:hAnsi="Liberation Serif" w:eastAsia="Segoe UI"/>
          <w:i/>
          <w:iCs/>
          <w:color w:val="000000"/>
          <w:sz w:val="24"/>
          <w:lang w:val="en-US" w:eastAsia="en-US" w:bidi="en-US"/>
        </w:rPr>
        <w:t>, que trata do assunto (“O prazo de vigência da apólice deverá ser igual ao prazo de vigência da obrigação garantida, salvo se o objeto principal ou sua legislação específica dispuser de forma distinta”). Não havendo ainda regulamentação do tema, deverá ser adotado um prazo razoável para verificação do total adimplemento do contratado, antes da liberação da garantia.</w:t>
      </w:r>
    </w:p>
    <w:p>
      <w:r>
        <w:rPr>
          <w:rFonts w:ascii="Liberation Serif" w:hAnsi="Liberation Serif" w:eastAsia="Segoe UI"/>
          <w:sz w:val="24"/>
          <w:lang w:val="en-US" w:eastAsia="en-US" w:bidi="en-US"/>
        </w:rPr>
      </w:r>
    </w:p>
  </w:comment>
  <w:comment w:id="44" w:author="Autor" w:date="0-00-00T00:00:00Z" w:initials="A">
    <w:p>
      <w:r>
        <w:rPr>
          <w:rFonts w:ascii="Liberation Serif" w:hAnsi="Liberation Serif" w:eastAsia="Segoe UI"/>
          <w:b/>
          <w:bCs/>
          <w:i/>
          <w:iCs/>
          <w:color w:val="000000"/>
          <w:sz w:val="24"/>
          <w:lang w:val="en-US" w:eastAsia="en-US" w:bidi="en-US"/>
        </w:rPr>
        <w:t xml:space="preserve">Nota Explicativa 1: </w:t>
      </w:r>
      <w:r>
        <w:rPr>
          <w:rFonts w:ascii="Liberation Serif" w:hAnsi="Liberation Serif" w:eastAsia="Segoe UI"/>
          <w:i/>
          <w:iCs/>
          <w:color w:val="000000"/>
          <w:sz w:val="24"/>
          <w:lang w:val="en-US" w:eastAsia="en-US" w:bidi="en-US"/>
        </w:rPr>
        <w:t xml:space="preserve">Disposição decorrente do </w:t>
      </w:r>
      <w:r>
        <w:fldChar w:fldCharType="begin"/>
      </w:r>
      <w:r>
        <w:instrText> HYPERLINK "https://www.planalto.gov.br/ccivil_03/decreto-lei/Del1737.htm" \l ":~:text=DECRETO-LEI Nº 1.737%2C DE 20 DE DEZEMBRO DE 1979.&amp;text=Disciplina os depósitos de interesse,que lhe confere o art."</w:instrText>
      </w:r>
      <w:r>
        <w:fldChar w:fldCharType="separate"/>
      </w:r>
      <w:r>
        <w:rPr>
          <w:rFonts w:ascii="Liberation Serif" w:hAnsi="Liberation Serif" w:eastAsia="Segoe UI"/>
          <w:i/>
          <w:iCs/>
          <w:color w:val="000000"/>
          <w:sz w:val="24"/>
          <w:lang w:val="en-US" w:eastAsia="en-US" w:bidi="en-US"/>
        </w:rPr>
        <w:t>art. 1º, IV, do Decreto-Lei nº 1.737, de 1979</w:t>
      </w:r>
      <w:r>
        <w:fldChar w:fldCharType="end"/>
      </w:r>
      <w:r>
        <w:rPr>
          <w:rFonts w:ascii="Liberation Serif" w:hAnsi="Liberation Serif" w:eastAsia="Segoe UI"/>
          <w:i/>
          <w:iCs/>
          <w:color w:val="000000"/>
          <w:sz w:val="24"/>
          <w:lang w:val="en-US" w:eastAsia="en-US" w:bidi="en-US"/>
        </w:rPr>
        <w:t>.</w:t>
      </w:r>
    </w:p>
    <w:p>
      <w:r>
        <w:rPr>
          <w:rFonts w:ascii="Liberation Serif" w:hAnsi="Liberation Serif" w:eastAsia="Segoe UI"/>
          <w:b/>
          <w:bCs/>
          <w:i/>
          <w:iCs/>
          <w:color w:val="000000"/>
          <w:sz w:val="24"/>
          <w:lang w:val="en-US" w:eastAsia="en-US" w:bidi="en-US"/>
        </w:rPr>
        <w:t xml:space="preserve">Nota Explicativa 2: </w:t>
      </w:r>
      <w:r>
        <w:rPr>
          <w:rFonts w:ascii="Liberation Serif" w:hAnsi="Liberation Serif" w:eastAsia="Segoe UI"/>
          <w:i/>
          <w:iCs/>
          <w:color w:val="000000"/>
          <w:sz w:val="24"/>
          <w:lang w:val="en-US" w:eastAsia="en-US" w:bidi="en-US"/>
        </w:rPr>
        <w:t>Caso seja exigida o seguro-garantia na forma do artigo 102 da Lei nº 14.133, de 2021, as disposições que se referem às modalidades de caução e fiança bancária podem ser suprimidas.</w:t>
      </w:r>
    </w:p>
  </w:comment>
  <w:comment w:id="45"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w:t>
      </w:r>
      <w:r>
        <w:fldChar w:fldCharType="begin"/>
      </w:r>
      <w:r>
        <w:instrText> HYPERLINK "http://www.planalto.gov.br/ccivil_03/_ato2019-2022/2021/lei/L14133.htm" \l "art156§3"</w:instrText>
      </w:r>
      <w:r>
        <w:fldChar w:fldCharType="separate"/>
      </w:r>
      <w:r>
        <w:rPr>
          <w:rFonts w:ascii="Liberation Serif" w:hAnsi="Liberation Serif" w:eastAsia="Segoe UI"/>
          <w:i/>
          <w:iCs/>
          <w:color w:val="000000"/>
          <w:sz w:val="24"/>
          <w:lang w:val="en-US" w:eastAsia="en-US" w:bidi="en-US"/>
        </w:rPr>
        <w:t>O art. 156, §3º, da Lei nº 14.133, de 2021</w:t>
      </w:r>
      <w:r>
        <w:fldChar w:fldCharType="end"/>
      </w:r>
      <w:r>
        <w:rPr>
          <w:rFonts w:ascii="Liberation Serif" w:hAnsi="Liberation Serif" w:eastAsia="Segoe UI"/>
          <w:i/>
          <w:iCs/>
          <w:color w:val="000000"/>
          <w:sz w:val="24"/>
          <w:lang w:val="en-US" w:eastAsia="en-US" w:bidi="en-US"/>
        </w:rPr>
        <w:t xml:space="preserve">, esclarece que “a multa não poderá ser inferior a 0,5% (cinco décimos por cento) nem superior a 30% (trinta por cento) do valor do contrato licitado ou celebrado com contratação direta e será aplicada ao responsável por qualquer das infrações administrativas previstas no </w:t>
      </w:r>
      <w:r>
        <w:fldChar w:fldCharType="begin"/>
      </w:r>
      <w:r>
        <w:instrText> HYPERLINK "http://www.planalto.gov.br/ccivil_03/_ato2019-2022/2021/lei/L14133.htm" \l "art155"</w:instrText>
      </w:r>
      <w:r>
        <w:fldChar w:fldCharType="separate"/>
      </w:r>
      <w:r>
        <w:rPr>
          <w:rFonts w:ascii="Liberation Serif" w:hAnsi="Liberation Serif" w:eastAsia="Segoe UI"/>
          <w:i/>
          <w:iCs/>
          <w:color w:val="000000"/>
          <w:sz w:val="24"/>
          <w:lang w:val="en-US" w:eastAsia="en-US" w:bidi="en-US"/>
        </w:rPr>
        <w:t>art. 155 desta Lei</w:t>
      </w:r>
      <w:r>
        <w:fldChar w:fldCharType="end"/>
      </w:r>
      <w:r>
        <w:rPr>
          <w:rFonts w:ascii="Liberation Serif" w:hAnsi="Liberation Serif" w:eastAsia="Segoe UI"/>
          <w:i/>
          <w:iCs/>
          <w:color w:val="000000"/>
          <w:sz w:val="24"/>
          <w:lang w:val="en-US" w:eastAsia="en-US" w:bidi="en-US"/>
        </w:rPr>
        <w:t xml:space="preserve">”. </w:t>
      </w:r>
    </w:p>
  </w:comment>
  <w:comment w:id="46" w:author="Autor" w:date="0-00-00T00:00:00Z" w:initials="A">
    <w:p>
      <w:r>
        <w:rPr>
          <w:rFonts w:ascii="Liberation Serif" w:hAnsi="Liberation Serif" w:eastAsia="Segoe UI"/>
          <w:b/>
          <w:bCs/>
          <w:i/>
          <w:iCs/>
          <w:color w:val="000000"/>
          <w:sz w:val="24"/>
          <w:lang w:val="en-US" w:eastAsia="en-US" w:bidi="en-US"/>
        </w:rPr>
        <w:t xml:space="preserve">Nota Explicativa: </w:t>
      </w:r>
      <w:r>
        <w:rPr>
          <w:rFonts w:ascii="Liberation Serif" w:hAnsi="Liberation Serif" w:eastAsia="Segoe UI"/>
          <w:i/>
          <w:iCs/>
          <w:color w:val="000000"/>
          <w:sz w:val="24"/>
          <w:lang w:val="en-US" w:eastAsia="en-US" w:bidi="en-US"/>
        </w:rPr>
        <w:t>Recomenda-se suprimir a sanção relativa à apresentação, reposição ou suplementação da garantia caso esta não seja exigida para a contratação.</w:t>
      </w:r>
    </w:p>
  </w:comment>
  <w:comment w:id="47" w:author="Autor" w:date="0-00-00T00:00:00Z" w:initials="A">
    <w:p>
      <w:r>
        <w:rPr>
          <w:rFonts w:ascii="Liberation Serif" w:hAnsi="Liberation Serif" w:eastAsia="Segoe UI"/>
          <w:b/>
          <w:bCs/>
          <w:i/>
          <w:iCs/>
          <w:sz w:val="24"/>
          <w:lang w:val="en-US" w:eastAsia="en-US" w:bidi="en-US"/>
        </w:rPr>
        <w:t>Nota Explicativa</w:t>
      </w:r>
      <w:r>
        <w:rPr>
          <w:rFonts w:ascii="Liberation Serif" w:hAnsi="Liberation Serif" w:eastAsia="Segoe UI"/>
          <w:i/>
          <w:iCs/>
          <w:sz w:val="24"/>
          <w:lang w:val="en-US" w:eastAsia="en-US" w:bidi="en-US"/>
        </w:rPr>
        <w:t>: A redação dos itens 3 a 7 é apenas exemplificativa. A ideia é que haja uma multa maior para infrações mais graves e menor para infrações menos graves. Segundo a própria Lei, as infrações sujeitas à declaração inidoneidade são mais graves que as sujeitas à pena de impedimento.</w:t>
      </w:r>
    </w:p>
  </w:comment>
  <w:comment w:id="48" w:author="Autor" w:date="0-00-00T00:00:00Z" w:initials="A">
    <w:p>
      <w:r>
        <w:rPr>
          <w:rFonts w:ascii="Liberation Serif" w:hAnsi="Liberation Serif" w:eastAsia="Segoe UI"/>
          <w:b/>
          <w:bCs/>
          <w:i/>
          <w:iCs/>
          <w:color w:val="000000"/>
          <w:sz w:val="24"/>
          <w:lang w:val="en-US" w:eastAsia="en-US" w:bidi="en-US"/>
        </w:rPr>
        <w:t xml:space="preserve">Nota Explicativa: </w:t>
      </w:r>
      <w:r>
        <w:rPr>
          <w:rFonts w:ascii="Liberation Serif" w:hAnsi="Liberation Serif" w:eastAsia="Segoe UI"/>
          <w:i/>
          <w:iCs/>
          <w:color w:val="000000"/>
          <w:sz w:val="24"/>
          <w:lang w:val="en-US" w:eastAsia="en-US" w:bidi="en-US"/>
        </w:rPr>
        <w:t xml:space="preserve">Use a redação abaixo para os contratos por escopo, assim considerados os contratos nos quais se impõe ao contratado o dever de realizar a prestação de um serviço específico em um período predeterminado. Ex: realizar a reforma de um imóvel público no prazo de 120 dias. </w:t>
      </w:r>
    </w:p>
  </w:comment>
  <w:comment w:id="49"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O </w:t>
      </w:r>
      <w:r>
        <w:fldChar w:fldCharType="begin"/>
      </w:r>
      <w:r>
        <w:instrText> HYPERLINK "http://www.planalto.gov.br/ccivil_03/_ato2019-2022/2021/lei/L14133.htm" \l "art106"</w:instrText>
      </w:r>
      <w:r>
        <w:fldChar w:fldCharType="separate"/>
      </w:r>
      <w:r>
        <w:rPr>
          <w:rFonts w:ascii="Liberation Serif" w:hAnsi="Liberation Serif" w:eastAsia="Segoe UI"/>
          <w:i/>
          <w:iCs/>
          <w:color w:val="000000"/>
          <w:sz w:val="24"/>
          <w:lang w:val="en-US" w:eastAsia="en-US" w:bidi="en-US"/>
        </w:rPr>
        <w:t>art. 106, II, da Lei nº 14.133/21</w:t>
      </w:r>
      <w:r>
        <w:fldChar w:fldCharType="end"/>
      </w:r>
      <w:r>
        <w:rPr>
          <w:rFonts w:ascii="Liberation Serif" w:hAnsi="Liberation Serif" w:eastAsia="Segoe UI"/>
          <w:i/>
          <w:iCs/>
          <w:color w:val="000000"/>
          <w:sz w:val="24"/>
          <w:lang w:val="en-US" w:eastAsia="en-US" w:bidi="en-US"/>
        </w:rPr>
        <w:t xml:space="preserve"> prevê para contratações de serviços continuados que “a Administração deverá atestar, no início da contratação e de cada exercício, a existência de créditos orçamentários vinculados à contratação e a vantagem em sua manutenção”. </w:t>
      </w:r>
    </w:p>
  </w:comment>
  <w:comment w:id="50" w:author="Autor" w:date="0-00-00T00:00:00Z" w:initials="A">
    <w:p>
      <w:r>
        <w:rPr>
          <w:rFonts w:ascii="Liberation Serif" w:hAnsi="Liberation Serif" w:eastAsia="Segoe UI"/>
          <w:b/>
          <w:bCs/>
          <w:i/>
          <w:iCs/>
          <w:color w:val="000000"/>
          <w:sz w:val="24"/>
          <w:lang w:val="en-US" w:eastAsia="en-US" w:bidi="en-US"/>
        </w:rPr>
        <w:t>Nota explicativa:</w:t>
      </w:r>
      <w:r>
        <w:rPr>
          <w:rFonts w:ascii="Liberation Serif" w:hAnsi="Liberation Serif" w:eastAsia="Segoe UI"/>
          <w:i/>
          <w:iCs/>
          <w:color w:val="000000"/>
          <w:sz w:val="24"/>
          <w:lang w:val="en-US" w:eastAsia="en-US" w:bidi="en-US"/>
        </w:rPr>
        <w:t xml:space="preserve"> No Acórdão n.º 2569/2018 – Plenário, o TCU concluiu que “A Administração Pública pode invocar </w:t>
      </w:r>
      <w:hyperlink r:id="rId10">
        <w:r>
          <w:rPr>
            <w:rFonts w:ascii="Liberation Serif" w:hAnsi="Liberation Serif" w:eastAsia="Segoe UI"/>
            <w:i/>
            <w:iCs/>
            <w:color w:val="000000"/>
            <w:sz w:val="24"/>
            <w:lang w:val="en-US" w:eastAsia="en-US" w:bidi="en-US"/>
          </w:rPr>
          <w:t>a Lei 8.078/1990 (CDC</w:t>
        </w:r>
      </w:hyperlink>
      <w:r>
        <w:rPr>
          <w:rFonts w:ascii="Liberation Serif" w:hAnsi="Liberation Serif" w:eastAsia="Segoe UI"/>
          <w:i/>
          <w:iCs/>
          <w:color w:val="000000"/>
          <w:sz w:val="24"/>
          <w:lang w:val="en-US" w:eastAsia="en-US" w:bidi="en-US"/>
        </w:rPr>
        <w:t xml:space="preserve">), na condição de destinatária final de bens e serviços, quando suas prerrogativas estabelecidas na legislação de licitações e contratos forem insuficientes para garantir a proteção mínima dos interesses da sociedade [...]”. (cf. Boletim de Jurisprudência n.º 244, sessões 6 e 7 de novembro de 2018). Consta do referido Acórdão, nesse sentido, que: </w:t>
      </w:r>
    </w:p>
    <w:p>
      <w:r>
        <w:rPr>
          <w:rFonts w:ascii="Liberation Serif" w:hAnsi="Liberation Serif" w:eastAsia="Segoe UI"/>
          <w:i/>
          <w:iCs/>
          <w:color w:val="000000"/>
          <w:sz w:val="24"/>
          <w:lang w:val="en-US" w:eastAsia="en-US" w:bidi="en-US"/>
        </w:rPr>
        <w:t xml:space="preserve">“307. Como é exposto no exame técnico transcrito no relatório do TC-016.501/2003-0, acolhido integralmente pelo Relator do Acórdão 1.670/2003-Plenário, Ministro-Substituto Lincoln Magalhães da Rocha, a </w:t>
      </w:r>
      <w:hyperlink r:id="rId11">
        <w:r>
          <w:rPr>
            <w:rFonts w:ascii="Liberation Serif" w:hAnsi="Liberation Serif" w:eastAsia="Segoe UI"/>
            <w:i/>
            <w:iCs/>
            <w:color w:val="000000"/>
            <w:sz w:val="24"/>
            <w:lang w:val="en-US" w:eastAsia="en-US" w:bidi="en-US"/>
          </w:rPr>
          <w:t>Lei 8.078/1990</w:t>
        </w:r>
      </w:hyperlink>
      <w:r>
        <w:rPr>
          <w:rFonts w:ascii="Liberation Serif" w:hAnsi="Liberation Serif" w:eastAsia="Segoe UI"/>
          <w:i/>
          <w:iCs/>
          <w:color w:val="000000"/>
          <w:sz w:val="24"/>
          <w:lang w:val="en-US" w:eastAsia="en-US" w:bidi="en-US"/>
        </w:rPr>
        <w:t xml:space="preserve"> é aplicável à Administração Pública enquanto consumidora de bens e serviços. Isso porque ao definir, em seu art. 2º, ’consumidor’ como toda pessoa física ou jurídica que adquire ou utiliza produto ou serviço como destinatário final, a Lei não fez nenhuma exceção, podendo, portanto, a Administração Pública se utilizar de todos os direitos ali estabelecidos na condição de consumidora. Ainda de acordo com o citado relatório, esse é o entendimento dos doutrinadores Leon Fredja, Celso Bastos e Toshio Mukai. Diversas outras deliberações do TCU também vão nesse sentido, como o Acórdão 1.729/2008-TCU-Plenário, de relatoria do Ministro Valmir Campelo, o Acórdão 5.736/2011-TCU-Primeira Câmara, de relatoria do Ministro-Substituto Weder de Oliveira, e as Decisões 634/1996 e 1.045/2000, ambas do Plenário, de relatoria dos ministros Homero Santos e Adylson Motta, respectivamente.”</w:t>
      </w:r>
    </w:p>
  </w:comment>
</w:comments>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Arial">
    <w:charset w:val="00"/>
    <w:family w:val="roman"/>
    <w:pitch w:val="variable"/>
  </w:font>
  <w:font w:name="Calibri">
    <w:charset w:val="00"/>
    <w:family w:val="roman"/>
    <w:pitch w:val="variable"/>
  </w:font>
  <w:font w:name="Tahoma">
    <w:charset w:val="00"/>
    <w:family w:val="roman"/>
    <w:pitch w:val="variable"/>
  </w:font>
  <w:font w:name="Ecofont_Spranq_eco_Sans">
    <w:charset w:val="00"/>
    <w:family w:val="roman"/>
    <w:pitch w:val="variable"/>
  </w:font>
  <w:font w:name="Liberation Sans">
    <w:altName w:val="Arial"/>
    <w:charset w:val="00"/>
    <w:family w:val="roman"/>
    <w:pitch w:val="variable"/>
  </w:font>
  <w:font w:name="Courier">
    <w:altName w:val="Courier New"/>
    <w:charset w:val="00"/>
    <w:family w:val="roman"/>
    <w:pitch w:val="variable"/>
  </w:font>
  <w:font w:name="Courier New">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Rodap"/>
      <w:rPr>
        <w:color w:val="548DD4"/>
        <w:spacing w:val="60"/>
        <w:sz w:val="22"/>
        <w:szCs w:val="22"/>
      </w:rPr>
    </w:pPr>
    <w:r>
      <w:rPr>
        <w:color w:val="548DD4"/>
        <w:spacing w:val="60"/>
        <w:sz w:val="22"/>
        <w:szCs w:val="22"/>
      </w:rPr>
      <w:tab/>
      <w:tab/>
    </w:r>
  </w:p>
  <w:p>
    <w:pPr>
      <w:pStyle w:val="Rodap"/>
      <w:widowControl/>
      <w:suppressAutoHyphens w:val="true"/>
      <w:overflowPunct w:val="true"/>
      <w:bidi w:val="0"/>
      <w:spacing w:before="0" w:after="0"/>
      <w:ind w:left="0" w:right="0" w:hanging="0"/>
      <w:jc w:val="left"/>
      <w:rPr>
        <w:color w:val="7F7F7F"/>
        <w:spacing w:val="60"/>
        <w:sz w:val="22"/>
        <w:szCs w:val="22"/>
      </w:rPr>
    </w:pPr>
    <w:r>
      <w:rPr>
        <w:color w:val="7F7F7F"/>
        <w:spacing w:val="60"/>
        <w:sz w:val="22"/>
        <w:szCs w:val="22"/>
      </w:rPr>
      <w:tab/>
      <w:tab/>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abealho"/>
      <w:rPr/>
    </w:pPr>
    <w:r>
      <w:rPr/>
    </w:r>
  </w:p>
  <w:tbl>
    <w:tblPr>
      <w:tblW w:w="10770" w:type="dxa"/>
      <w:jc w:val="left"/>
      <w:tblInd w:w="-864" w:type="dxa"/>
      <w:tblLayout w:type="fixed"/>
      <w:tblCellMar>
        <w:top w:w="0" w:type="dxa"/>
        <w:left w:w="70" w:type="dxa"/>
        <w:bottom w:w="0" w:type="dxa"/>
        <w:right w:w="70" w:type="dxa"/>
      </w:tblCellMar>
    </w:tblPr>
    <w:tblGrid>
      <w:gridCol w:w="1237"/>
      <w:gridCol w:w="9532"/>
    </w:tblGrid>
    <w:tr>
      <w:trPr/>
      <w:tc>
        <w:tcPr>
          <w:tcW w:w="1237" w:type="dxa"/>
          <w:tcBorders/>
          <w:shd w:fill="FFFFFF" w:val="clear"/>
        </w:tcPr>
        <w:p>
          <w:pPr>
            <w:pStyle w:val="Normal"/>
            <w:widowControl w:val="false"/>
            <w:snapToGrid w:val="false"/>
            <w:rPr/>
          </w:pPr>
          <w:r>
            <w:rPr/>
            <w:object>
              <v:shape id="ole_rId1" style="width:57.55pt;height:67.1pt" o:ole="">
                <v:imagedata r:id="rId2" o:title=""/>
              </v:shape>
              <o:OLEObject Type="Embed" ProgID="" ShapeID="ole_rId1" DrawAspect="Content" ObjectID="_1690512234" r:id="rId1"/>
            </w:object>
          </w:r>
        </w:p>
      </w:tc>
      <w:tc>
        <w:tcPr>
          <w:tcW w:w="9532" w:type="dxa"/>
          <w:tcBorders/>
          <w:shd w:fill="FFFFFF" w:val="clear"/>
        </w:tcPr>
        <w:p>
          <w:pPr>
            <w:pStyle w:val="Cabealho"/>
            <w:widowControl w:val="false"/>
            <w:snapToGrid w:val="false"/>
            <w:jc w:val="center"/>
            <w:rPr>
              <w:i/>
              <w:i/>
              <w:sz w:val="26"/>
              <w:szCs w:val="26"/>
            </w:rPr>
          </w:pPr>
          <w:r>
            <w:rPr>
              <w:i/>
              <w:sz w:val="26"/>
              <w:szCs w:val="26"/>
            </w:rPr>
          </w:r>
        </w:p>
        <w:p>
          <w:pPr>
            <w:pStyle w:val="Cabealho"/>
            <w:widowControl w:val="false"/>
            <w:snapToGrid w:val="false"/>
            <w:jc w:val="center"/>
            <w:rPr>
              <w:i/>
              <w:i/>
              <w:sz w:val="30"/>
              <w:szCs w:val="30"/>
            </w:rPr>
          </w:pPr>
          <w:r>
            <w:rPr>
              <w:i/>
              <w:sz w:val="30"/>
              <w:szCs w:val="30"/>
            </w:rPr>
            <w:t>Prefeitura Municipal da Estância Turística de Paraguaçu Paulista</w:t>
          </w:r>
        </w:p>
        <w:p>
          <w:pPr>
            <w:pStyle w:val="Cabealho"/>
            <w:widowControl w:val="false"/>
            <w:jc w:val="center"/>
            <w:rPr/>
          </w:pPr>
          <w:r>
            <w:rPr>
              <w:i/>
              <w:sz w:val="20"/>
              <w:szCs w:val="20"/>
            </w:rPr>
            <w:t>A</w:t>
          </w:r>
          <w:r>
            <w:rPr>
              <w:i/>
              <w:sz w:val="16"/>
              <w:szCs w:val="16"/>
            </w:rPr>
            <w:t>v. Siqueira Campos, 1430 – Jardim Paulista  – Praça Jornalista Mário Pacheco – CEP. 19.703-061 – Fone: (18) 3361-9100</w:t>
          </w:r>
        </w:p>
        <w:p>
          <w:pPr>
            <w:pStyle w:val="Cabealho"/>
            <w:widowControl w:val="false"/>
            <w:jc w:val="center"/>
            <w:rPr>
              <w:i/>
              <w:i/>
              <w:sz w:val="16"/>
              <w:szCs w:val="16"/>
            </w:rPr>
          </w:pPr>
          <w:r>
            <w:rPr>
              <w:i/>
              <w:sz w:val="16"/>
              <w:szCs w:val="16"/>
            </w:rPr>
            <w:t>CNPJ 44.547.305/0001-93 – Estância Turística de Paraguaçu Paulista – Estado de São Paulo</w:t>
          </w:r>
        </w:p>
        <w:p>
          <w:pPr>
            <w:pStyle w:val="DivisodeTabelas"/>
            <w:widowControl w:val="false"/>
            <w:spacing w:lineRule="auto" w:line="240"/>
            <w:jc w:val="right"/>
            <w:rPr/>
          </w:pPr>
          <w:r>
            <w:rPr/>
            <w:fldChar w:fldCharType="begin"/>
          </w:r>
          <w:r>
            <w:rPr/>
            <w:instrText> PAGE </w:instrText>
          </w:r>
          <w:r>
            <w:rPr/>
            <w:fldChar w:fldCharType="separate"/>
          </w:r>
          <w:r>
            <w:rPr/>
            <w:t>1</w:t>
          </w:r>
          <w:r>
            <w:rPr/>
            <w:fldChar w:fldCharType="end"/>
          </w:r>
        </w:p>
      </w:tc>
    </w:tr>
  </w:tbl>
  <w:p>
    <w:pPr>
      <w:pStyle w:val="Normal"/>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tbl>
    <w:tblPr>
      <w:tblW w:w="10770" w:type="dxa"/>
      <w:jc w:val="left"/>
      <w:tblInd w:w="-864" w:type="dxa"/>
      <w:tblLayout w:type="fixed"/>
      <w:tblCellMar>
        <w:top w:w="0" w:type="dxa"/>
        <w:left w:w="70" w:type="dxa"/>
        <w:bottom w:w="0" w:type="dxa"/>
        <w:right w:w="70" w:type="dxa"/>
      </w:tblCellMar>
    </w:tblPr>
    <w:tblGrid>
      <w:gridCol w:w="1237"/>
      <w:gridCol w:w="9532"/>
    </w:tblGrid>
    <w:tr>
      <w:trPr/>
      <w:tc>
        <w:tcPr>
          <w:tcW w:w="1237" w:type="dxa"/>
          <w:tcBorders/>
          <w:shd w:fill="FFFFFF" w:val="clear"/>
        </w:tcPr>
        <w:p>
          <w:pPr>
            <w:pStyle w:val="Normal"/>
            <w:widowControl w:val="false"/>
            <w:snapToGrid w:val="false"/>
            <w:rPr/>
          </w:pPr>
          <w:r>
            <w:rPr/>
            <w:object>
              <v:shape id="ole_rId1" style="width:57.55pt;height:67.1pt" o:ole="">
                <v:imagedata r:id="rId2" o:title=""/>
              </v:shape>
              <o:OLEObject Type="Embed" ProgID="" ShapeID="ole_rId1" DrawAspect="Content" ObjectID="_951768608" r:id="rId1"/>
            </w:object>
          </w:r>
        </w:p>
      </w:tc>
      <w:tc>
        <w:tcPr>
          <w:tcW w:w="9532" w:type="dxa"/>
          <w:tcBorders/>
          <w:shd w:fill="FFFFFF" w:val="clear"/>
        </w:tcPr>
        <w:p>
          <w:pPr>
            <w:pStyle w:val="Cabealho"/>
            <w:widowControl w:val="false"/>
            <w:snapToGrid w:val="false"/>
            <w:jc w:val="center"/>
            <w:rPr>
              <w:i/>
              <w:i/>
              <w:sz w:val="26"/>
              <w:szCs w:val="26"/>
            </w:rPr>
          </w:pPr>
          <w:r>
            <w:rPr>
              <w:i/>
              <w:sz w:val="26"/>
              <w:szCs w:val="26"/>
            </w:rPr>
          </w:r>
        </w:p>
        <w:p>
          <w:pPr>
            <w:pStyle w:val="Cabealho"/>
            <w:widowControl w:val="false"/>
            <w:snapToGrid w:val="false"/>
            <w:jc w:val="center"/>
            <w:rPr>
              <w:i/>
              <w:i/>
              <w:sz w:val="30"/>
              <w:szCs w:val="30"/>
            </w:rPr>
          </w:pPr>
          <w:r>
            <w:rPr>
              <w:i/>
              <w:sz w:val="30"/>
              <w:szCs w:val="30"/>
            </w:rPr>
            <w:t>Prefeitura Municipal da Estância Turística de Paraguaçu Paulista</w:t>
          </w:r>
        </w:p>
        <w:p>
          <w:pPr>
            <w:pStyle w:val="Cabealho"/>
            <w:widowControl w:val="false"/>
            <w:jc w:val="center"/>
            <w:rPr/>
          </w:pPr>
          <w:r>
            <w:rPr>
              <w:i/>
              <w:sz w:val="20"/>
              <w:szCs w:val="20"/>
            </w:rPr>
            <w:t>A</w:t>
          </w:r>
          <w:r>
            <w:rPr>
              <w:i/>
              <w:sz w:val="16"/>
              <w:szCs w:val="16"/>
            </w:rPr>
            <w:t>v. Siqueira Campos, 1430 – Jardim Paulista  – Praça Jornalista Mário Pacheco – CEP. 19.703-061 – Fone: (18) 3361-9100</w:t>
          </w:r>
        </w:p>
        <w:p>
          <w:pPr>
            <w:pStyle w:val="Cabealho"/>
            <w:widowControl w:val="false"/>
            <w:jc w:val="center"/>
            <w:rPr>
              <w:i/>
              <w:i/>
              <w:sz w:val="16"/>
              <w:szCs w:val="16"/>
            </w:rPr>
          </w:pPr>
          <w:r>
            <w:rPr>
              <w:i/>
              <w:sz w:val="16"/>
              <w:szCs w:val="16"/>
            </w:rPr>
            <w:t>CNPJ 44.547.305/0001-93 – Estância Turística de Paraguaçu Paulista – Estado de São Paulo</w:t>
          </w:r>
        </w:p>
        <w:p>
          <w:pPr>
            <w:pStyle w:val="DivisodeTabelas"/>
            <w:widowControl w:val="false"/>
            <w:spacing w:lineRule="auto" w:line="240"/>
            <w:jc w:val="right"/>
            <w:rPr/>
          </w:pPr>
          <w:r>
            <w:rPr/>
            <w:fldChar w:fldCharType="begin"/>
          </w:r>
          <w:r>
            <w:rPr/>
            <w:instrText> PAGE </w:instrText>
          </w:r>
          <w:r>
            <w:rPr/>
            <w:fldChar w:fldCharType="separate"/>
          </w:r>
          <w:r>
            <w:rPr/>
            <w:t>22</w:t>
          </w:r>
          <w:r>
            <w:rPr/>
            <w:fldChar w:fldCharType="end"/>
          </w:r>
        </w:p>
      </w:tc>
    </w:tr>
  </w:tbl>
  <w:p>
    <w:pPr>
      <w:pStyle w:val="Normal"/>
      <w:jc w:val="right"/>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suff w:val="space"/>
      <w:lvlText w:val="%1"/>
      <w:lvlJc w:val="left"/>
      <w:pPr>
        <w:tabs>
          <w:tab w:val="num" w:pos="0"/>
        </w:tabs>
        <w:ind w:left="0" w:hanging="0"/>
      </w:pPr>
    </w:lvl>
    <w:lvl w:ilvl="1">
      <w:start w:val="1"/>
      <w:numFmt w:val="decimal"/>
      <w:suff w:val="space"/>
      <w:lvlText w:val="%1.%2"/>
      <w:lvlJc w:val="left"/>
      <w:pPr>
        <w:tabs>
          <w:tab w:val="num" w:pos="0"/>
        </w:tabs>
        <w:ind w:left="0" w:hanging="0"/>
      </w:pPr>
      <w:rPr>
        <w:dstrike w:val="false"/>
        <w:strike w:val="false"/>
        <w:sz w:val="20"/>
        <w:i w:val="false"/>
        <w:u w:val="none"/>
        <w:b/>
        <w:szCs w:val="20"/>
        <w:color w:val="auto"/>
      </w:rPr>
    </w:lvl>
    <w:lvl w:ilvl="2">
      <w:start w:val="1"/>
      <w:numFmt w:val="decimal"/>
      <w:suff w:val="space"/>
      <w:lvlText w:val="%1.%2.%3"/>
      <w:lvlJc w:val="left"/>
      <w:pPr>
        <w:tabs>
          <w:tab w:val="num" w:pos="0"/>
        </w:tabs>
        <w:ind w:left="0" w:hanging="0"/>
      </w:pPr>
      <w:rPr>
        <w:dstrike w:val="false"/>
        <w:strike w:val="false"/>
        <w:sz w:val="20"/>
        <w:i w:val="false"/>
        <w:b/>
        <w:szCs w:val="20"/>
        <w:rFonts w:ascii="Arial" w:hAnsi="Arial"/>
        <w:color w:val="auto"/>
      </w:rPr>
    </w:lvl>
    <w:lvl w:ilvl="3">
      <w:start w:val="1"/>
      <w:numFmt w:val="decimal"/>
      <w:suff w:val="space"/>
      <w:lvlText w:val="%1.%2.%3.%4"/>
      <w:lvlJc w:val="left"/>
      <w:pPr>
        <w:tabs>
          <w:tab w:val="num" w:pos="0"/>
        </w:tabs>
        <w:ind w:left="0" w:hanging="0"/>
      </w:pPr>
    </w:lvl>
    <w:lvl w:ilvl="4">
      <w:start w:val="1"/>
      <w:numFmt w:val="decimal"/>
      <w:suff w:val="space"/>
      <w:lvlText w:val="%1.%2.%3.%4.%5"/>
      <w:lvlJc w:val="left"/>
      <w:pPr>
        <w:tabs>
          <w:tab w:val="num" w:pos="0"/>
        </w:tabs>
        <w:ind w:left="0" w:hanging="0"/>
      </w:pPr>
    </w:lvl>
    <w:lvl w:ilvl="5">
      <w:start w:val="1"/>
      <w:numFmt w:val="decimal"/>
      <w:suff w:val="space"/>
      <w:lvlText w:val="%1.%2.%3.%4.%5.%6"/>
      <w:lvlJc w:val="left"/>
      <w:pPr>
        <w:tabs>
          <w:tab w:val="num" w:pos="0"/>
        </w:tabs>
        <w:ind w:left="0" w:hanging="0"/>
      </w:pPr>
    </w:lvl>
    <w:lvl w:ilvl="6">
      <w:start w:val="1"/>
      <w:numFmt w:val="decimal"/>
      <w:suff w:val="space"/>
      <w:lvlText w:val="%1.%2.%3.%4.%5.%6.%7"/>
      <w:lvlJc w:val="left"/>
      <w:pPr>
        <w:tabs>
          <w:tab w:val="num" w:pos="0"/>
        </w:tabs>
        <w:ind w:left="0" w:hanging="0"/>
      </w:pPr>
    </w:lvl>
    <w:lvl w:ilvl="7">
      <w:start w:val="1"/>
      <w:numFmt w:val="decimal"/>
      <w:suff w:val="space"/>
      <w:lvlText w:val="%1.%2.%3.%4.%5.%6.%7.%8"/>
      <w:lvlJc w:val="left"/>
      <w:pPr>
        <w:tabs>
          <w:tab w:val="num" w:pos="0"/>
        </w:tabs>
        <w:ind w:left="0" w:hanging="0"/>
      </w:pPr>
    </w:lvl>
    <w:lvl w:ilvl="8">
      <w:start w:val="1"/>
      <w:numFmt w:val="decimal"/>
      <w:suff w:val="space"/>
      <w:lvlText w:val="%1.%2.%3.%4.%5.%6.%7.%8.%9"/>
      <w:lvlJc w:val="left"/>
      <w:pPr>
        <w:tabs>
          <w:tab w:val="num" w:pos="0"/>
        </w:tabs>
        <w:ind w:left="0" w:hanging="0"/>
      </w:pPr>
    </w:lvl>
  </w:abstractNum>
  <w:abstractNum w:abstractNumId="2">
    <w:lvl w:ilvl="0">
      <w:start w:val="1"/>
      <w:numFmt w:val="bullet"/>
      <w:lvlText w:val=""/>
      <w:lvlJc w:val="left"/>
      <w:pPr>
        <w:tabs>
          <w:tab w:val="num" w:pos="0"/>
        </w:tabs>
        <w:ind w:left="0" w:hanging="0"/>
      </w:pPr>
      <w:rPr>
        <w:rFonts w:ascii="Symbol" w:hAnsi="Symbol" w:cs="Symbol" w:hint="default"/>
      </w:r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2.%3.%4"/>
      <w:lvlJc w:val="left"/>
      <w:pPr>
        <w:tabs>
          <w:tab w:val="num" w:pos="1800"/>
        </w:tabs>
        <w:ind w:left="1800" w:hanging="360"/>
      </w:pPr>
    </w:lvl>
    <w:lvl w:ilvl="4">
      <w:start w:val="1"/>
      <w:numFmt w:val="decimal"/>
      <w:lvlText w:val="%3.%4.%5"/>
      <w:lvlJc w:val="left"/>
      <w:pPr>
        <w:tabs>
          <w:tab w:val="num" w:pos="2160"/>
        </w:tabs>
        <w:ind w:left="2160" w:hanging="360"/>
      </w:pPr>
    </w:lvl>
    <w:lvl w:ilvl="5">
      <w:start w:val="1"/>
      <w:numFmt w:val="decimal"/>
      <w:lvlText w:val="%4.%5.%6"/>
      <w:lvlJc w:val="left"/>
      <w:pPr>
        <w:tabs>
          <w:tab w:val="num" w:pos="2520"/>
        </w:tabs>
        <w:ind w:left="2520" w:hanging="360"/>
      </w:pPr>
    </w:lvl>
    <w:lvl w:ilvl="6">
      <w:start w:val="1"/>
      <w:numFmt w:val="decimal"/>
      <w:lvlText w:val="%5.%6.%7"/>
      <w:lvlJc w:val="left"/>
      <w:pPr>
        <w:tabs>
          <w:tab w:val="num" w:pos="2880"/>
        </w:tabs>
        <w:ind w:left="2880" w:hanging="360"/>
      </w:pPr>
    </w:lvl>
    <w:lvl w:ilvl="7">
      <w:start w:val="1"/>
      <w:numFmt w:val="decimal"/>
      <w:lvlText w:val="%6.%7.%8"/>
      <w:lvlJc w:val="left"/>
      <w:pPr>
        <w:tabs>
          <w:tab w:val="num" w:pos="3240"/>
        </w:tabs>
        <w:ind w:left="3240" w:hanging="360"/>
      </w:pPr>
    </w:lvl>
    <w:lvl w:ilvl="8">
      <w:start w:val="1"/>
      <w:numFmt w:val="decimal"/>
      <w:lvlText w:val="%7.%8.%9"/>
      <w:lvlJc w:val="left"/>
      <w:pPr>
        <w:tabs>
          <w:tab w:val="num" w:pos="3600"/>
        </w:tabs>
        <w:ind w:left="3600" w:hanging="360"/>
      </w:pPr>
    </w:lvl>
  </w:abstractNum>
  <w:abstractNum w:abstractNumId="3">
    <w:lvl w:ilvl="0">
      <w:start w:val="1"/>
      <w:numFmt w:val="none"/>
      <w:suff w:val="nothing"/>
      <w:lvlText w:val=""/>
      <w:lvlJc w:val="left"/>
      <w:pPr>
        <w:tabs>
          <w:tab w:val="num" w:pos="0"/>
        </w:tabs>
        <w:ind w:left="0" w:hanging="0"/>
      </w:pPr>
      <w:rPr>
        <w:rFonts w:cs="Arial"/>
      </w:r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4">
    <w:lvl w:ilvl="0">
      <w:start w:val="1"/>
      <w:numFmt w:val="upperLetter"/>
      <w:suff w:val="space"/>
      <w:lvlText w:val="%1."/>
      <w:lvlJc w:val="left"/>
      <w:pPr>
        <w:tabs>
          <w:tab w:val="num" w:pos="0"/>
        </w:tabs>
        <w:ind w:left="0" w:firstLine="357"/>
      </w:pPr>
    </w:lvl>
    <w:lvl w:ilvl="1">
      <w:start w:val="1"/>
      <w:numFmt w:val="upperLetter"/>
      <w:suff w:val="space"/>
      <w:lvlText w:val="%2."/>
      <w:lvlJc w:val="left"/>
      <w:pPr>
        <w:tabs>
          <w:tab w:val="num" w:pos="0"/>
        </w:tabs>
        <w:ind w:left="0" w:firstLine="754"/>
      </w:pPr>
    </w:lvl>
    <w:lvl w:ilvl="2">
      <w:start w:val="1"/>
      <w:numFmt w:val="upperLetter"/>
      <w:suff w:val="space"/>
      <w:lvlText w:val="%3."/>
      <w:lvlJc w:val="left"/>
      <w:pPr>
        <w:tabs>
          <w:tab w:val="num" w:pos="0"/>
        </w:tabs>
        <w:ind w:left="0" w:firstLine="1151"/>
      </w:pPr>
    </w:lvl>
    <w:lvl w:ilvl="3">
      <w:start w:val="1"/>
      <w:numFmt w:val="upperLetter"/>
      <w:suff w:val="space"/>
      <w:lvlText w:val="%4."/>
      <w:lvlJc w:val="left"/>
      <w:pPr>
        <w:tabs>
          <w:tab w:val="num" w:pos="0"/>
        </w:tabs>
        <w:ind w:left="0" w:firstLine="1548"/>
      </w:pPr>
    </w:lvl>
    <w:lvl w:ilvl="4">
      <w:start w:val="1"/>
      <w:numFmt w:val="upperLetter"/>
      <w:suff w:val="space"/>
      <w:lvlText w:val="%5."/>
      <w:lvlJc w:val="left"/>
      <w:pPr>
        <w:tabs>
          <w:tab w:val="num" w:pos="0"/>
        </w:tabs>
        <w:ind w:left="0" w:firstLine="1945"/>
      </w:pPr>
    </w:lvl>
    <w:lvl w:ilvl="5">
      <w:start w:val="1"/>
      <w:numFmt w:val="upperLetter"/>
      <w:suff w:val="space"/>
      <w:lvlText w:val="%6."/>
      <w:lvlJc w:val="left"/>
      <w:pPr>
        <w:tabs>
          <w:tab w:val="num" w:pos="0"/>
        </w:tabs>
        <w:ind w:left="0" w:firstLine="2342"/>
      </w:pPr>
    </w:lvl>
    <w:lvl w:ilvl="6">
      <w:start w:val="1"/>
      <w:numFmt w:val="upperLetter"/>
      <w:suff w:val="space"/>
      <w:lvlText w:val="%7."/>
      <w:lvlJc w:val="left"/>
      <w:pPr>
        <w:tabs>
          <w:tab w:val="num" w:pos="0"/>
        </w:tabs>
        <w:ind w:left="0" w:firstLine="2739"/>
      </w:pPr>
    </w:lvl>
    <w:lvl w:ilvl="7">
      <w:start w:val="1"/>
      <w:numFmt w:val="upperLetter"/>
      <w:suff w:val="space"/>
      <w:lvlText w:val="%8."/>
      <w:lvlJc w:val="left"/>
      <w:pPr>
        <w:tabs>
          <w:tab w:val="num" w:pos="0"/>
        </w:tabs>
        <w:ind w:left="0" w:firstLine="3136"/>
      </w:pPr>
    </w:lvl>
    <w:lvl w:ilvl="8">
      <w:start w:val="1"/>
      <w:numFmt w:val="upperLetter"/>
      <w:suff w:val="space"/>
      <w:lvlText w:val="%9."/>
      <w:lvlJc w:val="left"/>
      <w:pPr>
        <w:tabs>
          <w:tab w:val="num" w:pos="0"/>
        </w:tabs>
        <w:ind w:left="0" w:firstLine="3533"/>
      </w:pPr>
    </w:lvl>
  </w:abstractNum>
  <w:abstractNum w:abstractNumId="5">
    <w:lvl w:ilvl="0">
      <w:start w:val="1"/>
      <w:numFmt w:val="upperRoman"/>
      <w:suff w:val="space"/>
      <w:lvlText w:val="%1."/>
      <w:lvlJc w:val="right"/>
      <w:pPr>
        <w:tabs>
          <w:tab w:val="num" w:pos="0"/>
        </w:tabs>
        <w:ind w:left="0" w:firstLine="580"/>
      </w:pPr>
    </w:lvl>
    <w:lvl w:ilvl="1">
      <w:start w:val="1"/>
      <w:numFmt w:val="upperRoman"/>
      <w:suff w:val="space"/>
      <w:lvlText w:val="%2."/>
      <w:lvlJc w:val="right"/>
      <w:pPr>
        <w:tabs>
          <w:tab w:val="num" w:pos="0"/>
        </w:tabs>
        <w:ind w:left="0" w:firstLine="1334"/>
      </w:pPr>
    </w:lvl>
    <w:lvl w:ilvl="2">
      <w:start w:val="1"/>
      <w:numFmt w:val="upperRoman"/>
      <w:suff w:val="space"/>
      <w:lvlText w:val="%3."/>
      <w:lvlJc w:val="right"/>
      <w:pPr>
        <w:tabs>
          <w:tab w:val="num" w:pos="0"/>
        </w:tabs>
        <w:ind w:left="0" w:firstLine="1017"/>
      </w:pPr>
    </w:lvl>
    <w:lvl w:ilvl="3">
      <w:start w:val="1"/>
      <w:numFmt w:val="upperRoman"/>
      <w:suff w:val="space"/>
      <w:lvlText w:val="%4."/>
      <w:lvlJc w:val="right"/>
      <w:pPr>
        <w:tabs>
          <w:tab w:val="num" w:pos="0"/>
        </w:tabs>
        <w:ind w:left="0" w:firstLine="2088"/>
      </w:pPr>
    </w:lvl>
    <w:lvl w:ilvl="4">
      <w:start w:val="1"/>
      <w:numFmt w:val="upperRoman"/>
      <w:suff w:val="space"/>
      <w:lvlText w:val="%5."/>
      <w:lvlJc w:val="right"/>
      <w:pPr>
        <w:tabs>
          <w:tab w:val="num" w:pos="0"/>
        </w:tabs>
        <w:ind w:left="0" w:firstLine="2842"/>
      </w:pPr>
    </w:lvl>
    <w:lvl w:ilvl="5">
      <w:start w:val="1"/>
      <w:numFmt w:val="upperRoman"/>
      <w:suff w:val="space"/>
      <w:lvlText w:val="%6."/>
      <w:lvlJc w:val="right"/>
      <w:pPr>
        <w:tabs>
          <w:tab w:val="num" w:pos="0"/>
        </w:tabs>
        <w:ind w:left="0" w:firstLine="3597"/>
      </w:pPr>
    </w:lvl>
    <w:lvl w:ilvl="6">
      <w:start w:val="1"/>
      <w:numFmt w:val="upperRoman"/>
      <w:suff w:val="space"/>
      <w:lvlText w:val="%7."/>
      <w:lvlJc w:val="right"/>
      <w:pPr>
        <w:tabs>
          <w:tab w:val="num" w:pos="0"/>
        </w:tabs>
        <w:ind w:left="0" w:firstLine="4351"/>
      </w:pPr>
    </w:lvl>
    <w:lvl w:ilvl="7">
      <w:start w:val="1"/>
      <w:numFmt w:val="upperRoman"/>
      <w:suff w:val="space"/>
      <w:lvlText w:val="%8."/>
      <w:lvlJc w:val="right"/>
      <w:pPr>
        <w:tabs>
          <w:tab w:val="num" w:pos="0"/>
        </w:tabs>
        <w:ind w:left="0" w:firstLine="5105"/>
      </w:pPr>
    </w:lvl>
    <w:lvl w:ilvl="8">
      <w:start w:val="1"/>
      <w:numFmt w:val="upperRoman"/>
      <w:suff w:val="space"/>
      <w:lvlText w:val="%9."/>
      <w:lvlJc w:val="right"/>
      <w:pPr>
        <w:tabs>
          <w:tab w:val="num" w:pos="0"/>
        </w:tabs>
        <w:ind w:left="0" w:firstLine="5859"/>
      </w:pPr>
    </w:lvl>
  </w:abstractNum>
  <w:abstractNum w:abstractNumId="6">
    <w:lvl w:ilvl="0">
      <w:start w:val="1"/>
      <w:numFmt w:val="lowerLetter"/>
      <w:suff w:val="space"/>
      <w:lvlText w:val="%1."/>
      <w:lvlJc w:val="left"/>
      <w:pPr>
        <w:tabs>
          <w:tab w:val="num" w:pos="0"/>
        </w:tabs>
        <w:ind w:left="0" w:firstLine="357"/>
      </w:pPr>
    </w:lvl>
    <w:lvl w:ilvl="1">
      <w:start w:val="1"/>
      <w:numFmt w:val="lowerLetter"/>
      <w:suff w:val="space"/>
      <w:lvlText w:val="%2."/>
      <w:lvlJc w:val="left"/>
      <w:pPr>
        <w:tabs>
          <w:tab w:val="num" w:pos="0"/>
        </w:tabs>
        <w:ind w:left="0" w:firstLine="754"/>
      </w:pPr>
    </w:lvl>
    <w:lvl w:ilvl="2">
      <w:start w:val="1"/>
      <w:numFmt w:val="lowerLetter"/>
      <w:suff w:val="space"/>
      <w:lvlText w:val="%3."/>
      <w:lvlJc w:val="left"/>
      <w:pPr>
        <w:tabs>
          <w:tab w:val="num" w:pos="0"/>
        </w:tabs>
        <w:ind w:left="0" w:firstLine="1151"/>
      </w:pPr>
    </w:lvl>
    <w:lvl w:ilvl="3">
      <w:start w:val="1"/>
      <w:numFmt w:val="lowerLetter"/>
      <w:suff w:val="space"/>
      <w:lvlText w:val="%4."/>
      <w:lvlJc w:val="left"/>
      <w:pPr>
        <w:tabs>
          <w:tab w:val="num" w:pos="0"/>
        </w:tabs>
        <w:ind w:left="0" w:firstLine="1548"/>
      </w:pPr>
    </w:lvl>
    <w:lvl w:ilvl="4">
      <w:start w:val="1"/>
      <w:numFmt w:val="lowerLetter"/>
      <w:suff w:val="space"/>
      <w:lvlText w:val="%5."/>
      <w:lvlJc w:val="left"/>
      <w:pPr>
        <w:tabs>
          <w:tab w:val="num" w:pos="0"/>
        </w:tabs>
        <w:ind w:left="0" w:firstLine="1945"/>
      </w:pPr>
    </w:lvl>
    <w:lvl w:ilvl="5">
      <w:start w:val="1"/>
      <w:numFmt w:val="lowerLetter"/>
      <w:suff w:val="space"/>
      <w:lvlText w:val="%6."/>
      <w:lvlJc w:val="left"/>
      <w:pPr>
        <w:tabs>
          <w:tab w:val="num" w:pos="0"/>
        </w:tabs>
        <w:ind w:left="0" w:firstLine="2342"/>
      </w:pPr>
    </w:lvl>
    <w:lvl w:ilvl="6">
      <w:start w:val="1"/>
      <w:numFmt w:val="lowerLetter"/>
      <w:suff w:val="space"/>
      <w:lvlText w:val="%7."/>
      <w:lvlJc w:val="left"/>
      <w:pPr>
        <w:tabs>
          <w:tab w:val="num" w:pos="0"/>
        </w:tabs>
        <w:ind w:left="0" w:firstLine="2739"/>
      </w:pPr>
    </w:lvl>
    <w:lvl w:ilvl="7">
      <w:start w:val="1"/>
      <w:numFmt w:val="lowerLetter"/>
      <w:suff w:val="space"/>
      <w:lvlText w:val="%8."/>
      <w:lvlJc w:val="left"/>
      <w:pPr>
        <w:tabs>
          <w:tab w:val="num" w:pos="0"/>
        </w:tabs>
        <w:ind w:left="0" w:firstLine="3136"/>
      </w:pPr>
    </w:lvl>
    <w:lvl w:ilvl="8">
      <w:start w:val="1"/>
      <w:numFmt w:val="lowerLetter"/>
      <w:suff w:val="space"/>
      <w:lvlText w:val="%9."/>
      <w:lvlJc w:val="left"/>
      <w:pPr>
        <w:tabs>
          <w:tab w:val="num" w:pos="0"/>
        </w:tabs>
        <w:ind w:left="0" w:firstLine="3533"/>
      </w:pPr>
    </w:lvl>
  </w:abstractNum>
  <w:abstractNum w:abstractNumId="7">
    <w:lvl w:ilvl="0">
      <w:start w:val="1"/>
      <w:numFmt w:val="decimal"/>
      <w:suff w:val="space"/>
      <w:lvlText w:val="%1"/>
      <w:lvlJc w:val="left"/>
      <w:pPr>
        <w:tabs>
          <w:tab w:val="num" w:pos="0"/>
        </w:tabs>
        <w:ind w:left="0" w:hanging="0"/>
      </w:pPr>
    </w:lvl>
    <w:lvl w:ilvl="1">
      <w:start w:val="1"/>
      <w:numFmt w:val="decimal"/>
      <w:suff w:val="space"/>
      <w:lvlText w:val="%1.%2"/>
      <w:lvlJc w:val="left"/>
      <w:pPr>
        <w:tabs>
          <w:tab w:val="num" w:pos="0"/>
        </w:tabs>
        <w:ind w:left="0" w:hanging="0"/>
      </w:pPr>
      <w:rPr>
        <w:dstrike w:val="false"/>
        <w:strike w:val="false"/>
        <w:sz w:val="20"/>
        <w:i w:val="false"/>
        <w:u w:val="none"/>
        <w:b/>
        <w:szCs w:val="20"/>
        <w:color w:val="auto"/>
      </w:rPr>
    </w:lvl>
    <w:lvl w:ilvl="2">
      <w:start w:val="1"/>
      <w:numFmt w:val="decimal"/>
      <w:suff w:val="space"/>
      <w:lvlText w:val="%1.%2.%3"/>
      <w:lvlJc w:val="left"/>
      <w:pPr>
        <w:tabs>
          <w:tab w:val="num" w:pos="0"/>
        </w:tabs>
        <w:ind w:left="0" w:hanging="0"/>
      </w:pPr>
      <w:rPr>
        <w:dstrike w:val="false"/>
        <w:strike w:val="false"/>
        <w:sz w:val="20"/>
        <w:i w:val="false"/>
        <w:b/>
        <w:szCs w:val="20"/>
        <w:rFonts w:ascii="Arial" w:hAnsi="Arial"/>
        <w:color w:val="auto"/>
      </w:rPr>
    </w:lvl>
    <w:lvl w:ilvl="3">
      <w:start w:val="1"/>
      <w:numFmt w:val="decimal"/>
      <w:suff w:val="space"/>
      <w:lvlText w:val="%1.%2.%3.%4"/>
      <w:lvlJc w:val="left"/>
      <w:pPr>
        <w:tabs>
          <w:tab w:val="num" w:pos="0"/>
        </w:tabs>
        <w:ind w:left="0" w:hanging="0"/>
      </w:pPr>
    </w:lvl>
    <w:lvl w:ilvl="4">
      <w:start w:val="1"/>
      <w:numFmt w:val="decimal"/>
      <w:suff w:val="space"/>
      <w:lvlText w:val="%1.%2.%3.%4.%5"/>
      <w:lvlJc w:val="left"/>
      <w:pPr>
        <w:tabs>
          <w:tab w:val="num" w:pos="0"/>
        </w:tabs>
        <w:ind w:left="0" w:hanging="0"/>
      </w:pPr>
    </w:lvl>
    <w:lvl w:ilvl="5">
      <w:start w:val="1"/>
      <w:numFmt w:val="decimal"/>
      <w:suff w:val="space"/>
      <w:lvlText w:val="%1.%2.%3.%4.%5.%6"/>
      <w:lvlJc w:val="left"/>
      <w:pPr>
        <w:tabs>
          <w:tab w:val="num" w:pos="0"/>
        </w:tabs>
        <w:ind w:left="0" w:hanging="0"/>
      </w:pPr>
    </w:lvl>
    <w:lvl w:ilvl="6">
      <w:start w:val="1"/>
      <w:numFmt w:val="decimal"/>
      <w:suff w:val="space"/>
      <w:lvlText w:val="%1.%2.%3.%4.%5.%6.%7"/>
      <w:lvlJc w:val="left"/>
      <w:pPr>
        <w:tabs>
          <w:tab w:val="num" w:pos="0"/>
        </w:tabs>
        <w:ind w:left="0" w:hanging="0"/>
      </w:pPr>
    </w:lvl>
    <w:lvl w:ilvl="7">
      <w:start w:val="1"/>
      <w:numFmt w:val="decimal"/>
      <w:suff w:val="space"/>
      <w:lvlText w:val="%1.%2.%3.%4.%5.%6.%7.%8"/>
      <w:lvlJc w:val="left"/>
      <w:pPr>
        <w:tabs>
          <w:tab w:val="num" w:pos="0"/>
        </w:tabs>
        <w:ind w:left="0" w:hanging="0"/>
      </w:pPr>
    </w:lvl>
    <w:lvl w:ilvl="8">
      <w:start w:val="1"/>
      <w:numFmt w:val="decimal"/>
      <w:suff w:val="space"/>
      <w:lvlText w:val="%1.%2.%3.%4.%5.%6.%7.%8.%9"/>
      <w:lvlJc w:val="left"/>
      <w:pPr>
        <w:tabs>
          <w:tab w:val="num" w:pos="0"/>
        </w:tabs>
        <w:ind w:left="0" w:hanging="0"/>
      </w:pPr>
    </w:lvl>
  </w:abstractNum>
  <w:abstractNum w:abstractNumId="8">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1"/>
    <w:lvlOverride w:ilvl="0">
      <w:startOverride w:val="1"/>
    </w:lvlOverride>
  </w:num>
</w:numbering>
</file>

<file path=word/settings.xml><?xml version="1.0" encoding="utf-8"?>
<w:settings xmlns:w="http://schemas.openxmlformats.org/wordprocessingml/2006/main">
  <w:zoom w:percent="120"/>
  <w:mirrorMargins/>
  <w:defaultTabStop w:val="708"/>
  <w:autoHyphenation w:val="true"/>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ＭＳ 明朝" w:cs="Times New Roman"/>
        <w:lang w:val="pt-BR" w:eastAsia="en-US" w:bidi="ar-SA"/>
      </w:rPr>
    </w:rPrDefault>
    <w:pPrDefault>
      <w:pPr>
        <w:suppressAutoHyphens w:val="true"/>
      </w:pPr>
    </w:pPrDefault>
  </w:docDefaults>
  <w:style w:type="paragraph" w:styleId="Normal">
    <w:name w:val="Normal"/>
    <w:qFormat/>
    <w:pPr>
      <w:widowControl/>
      <w:suppressAutoHyphens w:val="true"/>
      <w:overflowPunct w:val="true"/>
      <w:bidi w:val="0"/>
      <w:spacing w:before="0" w:after="0"/>
      <w:jc w:val="left"/>
    </w:pPr>
    <w:rPr>
      <w:rFonts w:ascii="Arial" w:hAnsi="Arial" w:eastAsia="ＭＳ 明朝" w:cs="Tahoma"/>
      <w:color w:val="auto"/>
      <w:kern w:val="0"/>
      <w:sz w:val="20"/>
      <w:szCs w:val="24"/>
      <w:lang w:val="pt-BR" w:eastAsia="pt-BR" w:bidi="ar-SA"/>
    </w:rPr>
  </w:style>
  <w:style w:type="paragraph" w:styleId="Ttulo1">
    <w:name w:val="Heading 1"/>
    <w:basedOn w:val="Normal"/>
    <w:next w:val="Normal"/>
    <w:qFormat/>
    <w:pPr>
      <w:keepNext w:val="true"/>
      <w:keepLines/>
      <w:spacing w:before="480" w:after="0"/>
      <w:outlineLvl w:val="0"/>
    </w:pPr>
    <w:rPr>
      <w:rFonts w:ascii="Calibri" w:hAnsi="Calibri" w:eastAsia="ＭＳ ゴシック" w:cs="Times New Roman"/>
      <w:b/>
      <w:bCs/>
      <w:color w:val="365F91"/>
      <w:sz w:val="28"/>
      <w:szCs w:val="28"/>
    </w:rPr>
  </w:style>
  <w:style w:type="paragraph" w:styleId="Ttulo2">
    <w:name w:val="Heading 2"/>
    <w:basedOn w:val="Normal"/>
    <w:next w:val="Normal"/>
    <w:qFormat/>
    <w:pPr>
      <w:keepNext w:val="true"/>
      <w:tabs>
        <w:tab w:val="clear" w:pos="708"/>
        <w:tab w:val="left" w:pos="1701" w:leader="none"/>
      </w:tabs>
      <w:ind w:left="0" w:right="-1" w:hanging="0"/>
      <w:jc w:val="center"/>
      <w:outlineLvl w:val="1"/>
    </w:pPr>
    <w:rPr>
      <w:rFonts w:ascii="Times New Roman" w:hAnsi="Times New Roman" w:cs="Times New Roman"/>
      <w:b/>
      <w:color w:val="000000"/>
      <w:szCs w:val="20"/>
    </w:rPr>
  </w:style>
  <w:style w:type="paragraph" w:styleId="Ttulo3">
    <w:name w:val="Heading 3"/>
    <w:basedOn w:val="Normal"/>
    <w:next w:val="Normal"/>
    <w:qFormat/>
    <w:pPr>
      <w:keepNext w:val="true"/>
      <w:keepLines/>
      <w:spacing w:lineRule="auto" w:line="259" w:before="40" w:after="0"/>
      <w:outlineLvl w:val="2"/>
    </w:pPr>
    <w:rPr>
      <w:rFonts w:ascii="Calibri" w:hAnsi="Calibri" w:eastAsia="ＭＳ ゴシック" w:cs="Times New Roman"/>
      <w:color w:val="243F60"/>
      <w:lang w:eastAsia="en-US"/>
    </w:rPr>
  </w:style>
  <w:style w:type="paragraph" w:styleId="Ttulo4">
    <w:name w:val="Heading 4"/>
    <w:basedOn w:val="Normal"/>
    <w:next w:val="Normal"/>
    <w:qFormat/>
    <w:pPr>
      <w:keepNext w:val="true"/>
      <w:keepLines/>
      <w:spacing w:before="40" w:after="0"/>
      <w:outlineLvl w:val="3"/>
    </w:pPr>
    <w:rPr>
      <w:rFonts w:ascii="Calibri" w:hAnsi="Calibri" w:eastAsia="ＭＳ ゴシック" w:cs="Times New Roman"/>
      <w:i/>
      <w:iCs/>
      <w:color w:val="365F91"/>
    </w:rPr>
  </w:style>
  <w:style w:type="paragraph" w:styleId="Ttulo6">
    <w:name w:val="Heading 6"/>
    <w:basedOn w:val="Normal"/>
    <w:next w:val="Normal"/>
    <w:qFormat/>
    <w:pPr>
      <w:keepNext w:val="true"/>
      <w:keepLines/>
      <w:spacing w:lineRule="auto" w:line="259" w:before="40" w:after="0"/>
      <w:outlineLvl w:val="5"/>
    </w:pPr>
    <w:rPr>
      <w:rFonts w:ascii="Calibri" w:hAnsi="Calibri" w:eastAsia="ＭＳ ゴシック" w:cs="Times New Roman"/>
      <w:color w:val="243F60"/>
      <w:sz w:val="22"/>
      <w:szCs w:val="22"/>
      <w:lang w:eastAsia="en-US"/>
    </w:rPr>
  </w:style>
  <w:style w:type="character" w:styleId="DefaultParagraphFont">
    <w:name w:val="Default Paragraph Font"/>
    <w:qFormat/>
    <w:rPr/>
  </w:style>
  <w:style w:type="character" w:styleId="TextodebaloChar">
    <w:name w:val="Texto de balão Char"/>
    <w:qFormat/>
    <w:rPr>
      <w:rFonts w:ascii="Tahoma" w:hAnsi="Tahoma" w:cs="Tahoma"/>
      <w:sz w:val="16"/>
      <w:szCs w:val="16"/>
    </w:rPr>
  </w:style>
  <w:style w:type="character" w:styleId="Ttulo2Char">
    <w:name w:val="Título 2 Char"/>
    <w:qFormat/>
    <w:rPr>
      <w:b/>
      <w:color w:val="000000"/>
      <w:sz w:val="24"/>
    </w:rPr>
  </w:style>
  <w:style w:type="character" w:styleId="Normalchar1">
    <w:name w:val="normal__char1"/>
    <w:qFormat/>
    <w:rPr>
      <w:rFonts w:ascii="Arial" w:hAnsi="Arial" w:cs="Arial"/>
      <w:strike w:val="false"/>
      <w:dstrike w:val="false"/>
      <w:sz w:val="24"/>
      <w:szCs w:val="24"/>
      <w:u w:val="none"/>
      <w:effect w:val="none"/>
    </w:rPr>
  </w:style>
  <w:style w:type="character" w:styleId="Applestylespan">
    <w:name w:val="apple-style-span"/>
    <w:basedOn w:val="DefaultParagraphFont"/>
    <w:qFormat/>
    <w:rPr/>
  </w:style>
  <w:style w:type="character" w:styleId="LinkdaInternet">
    <w:name w:val="Link da Internet"/>
    <w:basedOn w:val="DefaultParagraphFont"/>
    <w:rPr>
      <w:color w:val="0000FF"/>
      <w:u w:val="single"/>
    </w:rPr>
  </w:style>
  <w:style w:type="character" w:styleId="CitaoChar">
    <w:name w:val="Citação Char"/>
    <w:qFormat/>
    <w:rPr>
      <w:rFonts w:ascii="Arial" w:hAnsi="Arial" w:eastAsia="Calibri" w:cs="Tahoma"/>
      <w:i/>
      <w:iCs/>
      <w:color w:val="000000"/>
      <w:szCs w:val="24"/>
      <w:shd w:fill="FFFFCC" w:val="clear"/>
    </w:rPr>
  </w:style>
  <w:style w:type="character" w:styleId="NotaexplicativaChar">
    <w:name w:val="Nota explicativa Char"/>
    <w:basedOn w:val="CitaoChar"/>
    <w:qFormat/>
    <w:rPr>
      <w:rFonts w:ascii="Arial" w:hAnsi="Arial" w:eastAsia="Calibri" w:cs="Tahoma"/>
      <w:i/>
      <w:iCs/>
      <w:color w:val="000000"/>
      <w:szCs w:val="24"/>
      <w:shd w:fill="FFFFCC" w:val="clear"/>
    </w:rPr>
  </w:style>
  <w:style w:type="character" w:styleId="CabealhoChar">
    <w:name w:val="Cabeçalho Char"/>
    <w:qFormat/>
    <w:rPr>
      <w:rFonts w:ascii="Ecofont_Spranq_eco_Sans" w:hAnsi="Ecofont_Spranq_eco_Sans" w:cs="Tahoma"/>
      <w:sz w:val="24"/>
      <w:szCs w:val="24"/>
    </w:rPr>
  </w:style>
  <w:style w:type="character" w:styleId="RodapChar">
    <w:name w:val="Rodapé Char"/>
    <w:qFormat/>
    <w:rPr>
      <w:rFonts w:ascii="Ecofont_Spranq_eco_Sans" w:hAnsi="Ecofont_Spranq_eco_Sans" w:cs="Tahoma"/>
      <w:sz w:val="24"/>
      <w:szCs w:val="24"/>
    </w:rPr>
  </w:style>
  <w:style w:type="character" w:styleId="Annotationreference">
    <w:name w:val="annotation reference"/>
    <w:basedOn w:val="DefaultParagraphFont"/>
    <w:qFormat/>
    <w:rPr>
      <w:sz w:val="16"/>
      <w:szCs w:val="16"/>
    </w:rPr>
  </w:style>
  <w:style w:type="character" w:styleId="TextodecomentrioChar">
    <w:name w:val="Texto de comentário Char"/>
    <w:basedOn w:val="DefaultParagraphFont"/>
    <w:qFormat/>
    <w:rPr>
      <w:rFonts w:ascii="Ecofont_Spranq_eco_Sans" w:hAnsi="Ecofont_Spranq_eco_Sans" w:cs="Tahoma"/>
      <w:lang w:eastAsia="pt-BR"/>
    </w:rPr>
  </w:style>
  <w:style w:type="character" w:styleId="AssuntodocomentrioChar">
    <w:name w:val="Assunto do comentário Char"/>
    <w:basedOn w:val="TextodecomentrioChar"/>
    <w:qFormat/>
    <w:rPr>
      <w:rFonts w:ascii="Ecofont_Spranq_eco_Sans" w:hAnsi="Ecofont_Spranq_eco_Sans" w:cs="Tahoma"/>
      <w:b/>
      <w:bCs/>
      <w:lang w:eastAsia="pt-BR"/>
    </w:rPr>
  </w:style>
  <w:style w:type="character" w:styleId="Ttulo4Char">
    <w:name w:val="Título 4 Char"/>
    <w:basedOn w:val="DefaultParagraphFont"/>
    <w:qFormat/>
    <w:rPr>
      <w:rFonts w:ascii="Calibri" w:hAnsi="Calibri" w:eastAsia="ＭＳ ゴシック" w:cs="Times New Roman"/>
      <w:i/>
      <w:iCs/>
      <w:color w:val="365F91"/>
      <w:sz w:val="24"/>
      <w:szCs w:val="24"/>
      <w:lang w:eastAsia="pt-BR"/>
    </w:rPr>
  </w:style>
  <w:style w:type="character" w:styleId="TtuloChar">
    <w:name w:val="Título Char"/>
    <w:basedOn w:val="DefaultParagraphFont"/>
    <w:qFormat/>
    <w:rPr>
      <w:rFonts w:ascii="Calibri" w:hAnsi="Calibri" w:eastAsia="ＭＳ ゴシック" w:cs="Times New Roman"/>
      <w:color w:val="17365D"/>
      <w:spacing w:val="5"/>
      <w:kern w:val="2"/>
      <w:sz w:val="52"/>
      <w:szCs w:val="52"/>
      <w:lang w:eastAsia="pt-BR"/>
    </w:rPr>
  </w:style>
  <w:style w:type="character" w:styleId="Nivel01Char">
    <w:name w:val="Nivel 01 Char"/>
    <w:basedOn w:val="TtuloChar"/>
    <w:qFormat/>
    <w:rPr>
      <w:rFonts w:ascii="Arial" w:hAnsi="Arial" w:eastAsia="ＭＳ ゴシック" w:cs="Arial"/>
      <w:b/>
      <w:bCs/>
      <w:color w:val="17365D"/>
      <w:spacing w:val="5"/>
      <w:kern w:val="2"/>
      <w:sz w:val="52"/>
      <w:szCs w:val="52"/>
      <w:lang w:eastAsia="pt-BR"/>
    </w:rPr>
  </w:style>
  <w:style w:type="character" w:styleId="Ttulo1Char">
    <w:name w:val="Título 1 Char"/>
    <w:basedOn w:val="DefaultParagraphFont"/>
    <w:qFormat/>
    <w:rPr>
      <w:rFonts w:ascii="Calibri" w:hAnsi="Calibri" w:eastAsia="ＭＳ ゴシック" w:cs="Times New Roman"/>
      <w:b/>
      <w:bCs/>
      <w:color w:val="365F91"/>
      <w:sz w:val="28"/>
      <w:szCs w:val="28"/>
      <w:lang w:eastAsia="pt-BR"/>
    </w:rPr>
  </w:style>
  <w:style w:type="character" w:styleId="Nivel01TituloChar">
    <w:name w:val="Nivel_01_Titulo Char"/>
    <w:basedOn w:val="Nivel01Char"/>
    <w:qFormat/>
    <w:rPr>
      <w:rFonts w:ascii="Arial" w:hAnsi="Arial" w:eastAsia="ＭＳ ゴシック" w:cs="Times New Roman"/>
      <w:b/>
      <w:bCs/>
      <w:color w:val="000000"/>
      <w:spacing w:val="5"/>
      <w:kern w:val="2"/>
      <w:sz w:val="52"/>
      <w:szCs w:val="52"/>
      <w:lang w:eastAsia="pt-BR"/>
    </w:rPr>
  </w:style>
  <w:style w:type="character" w:styleId="QuoteChar">
    <w:name w:val="Quote Char"/>
    <w:basedOn w:val="DefaultParagraphFont"/>
    <w:qFormat/>
    <w:rPr>
      <w:rFonts w:ascii="Ecofont_Spranq_eco_Sans" w:hAnsi="Ecofont_Spranq_eco_Sans" w:eastAsia="Calibri" w:cs="Tahoma"/>
      <w:i/>
      <w:iCs/>
      <w:color w:val="000000"/>
      <w:shd w:fill="FFFFCC" w:val="clear"/>
    </w:rPr>
  </w:style>
  <w:style w:type="character" w:styleId="Normaltextrun">
    <w:name w:val="normaltextrun"/>
    <w:basedOn w:val="DefaultParagraphFont"/>
    <w:qFormat/>
    <w:rPr/>
  </w:style>
  <w:style w:type="character" w:styleId="Eop">
    <w:name w:val="eop"/>
    <w:basedOn w:val="DefaultParagraphFont"/>
    <w:qFormat/>
    <w:rPr/>
  </w:style>
  <w:style w:type="character" w:styleId="Spellingerror">
    <w:name w:val="spellingerror"/>
    <w:basedOn w:val="DefaultParagraphFont"/>
    <w:qFormat/>
    <w:rPr/>
  </w:style>
  <w:style w:type="character" w:styleId="CorpodetextoChar">
    <w:name w:val="Corpo de texto Char"/>
    <w:basedOn w:val="DefaultParagraphFont"/>
    <w:qFormat/>
    <w:rPr>
      <w:rFonts w:eastAsia="Times New Roman"/>
      <w:sz w:val="24"/>
      <w:szCs w:val="24"/>
      <w:lang w:eastAsia="pt-BR"/>
    </w:rPr>
  </w:style>
  <w:style w:type="character" w:styleId="Nivel1Char">
    <w:name w:val="Nivel1 Char"/>
    <w:basedOn w:val="Ttulo1Char"/>
    <w:qFormat/>
    <w:rPr>
      <w:rFonts w:ascii="Arial" w:hAnsi="Arial" w:eastAsia="ＭＳ ゴシック" w:cs="Arial"/>
      <w:b/>
      <w:bCs w:val="false"/>
      <w:color w:val="000000"/>
      <w:sz w:val="28"/>
      <w:szCs w:val="28"/>
      <w:lang w:eastAsia="pt-BR"/>
    </w:rPr>
  </w:style>
  <w:style w:type="character" w:styleId="Nivel4Char">
    <w:name w:val="Nivel 4 Char"/>
    <w:basedOn w:val="DefaultParagraphFont"/>
    <w:qFormat/>
    <w:rPr>
      <w:rFonts w:ascii="Arial" w:hAnsi="Arial" w:cs="Arial"/>
      <w:lang w:eastAsia="pt-BR"/>
    </w:rPr>
  </w:style>
  <w:style w:type="character" w:styleId="Cp0020corpodespachochar1">
    <w:name w:val="cp_0020corpodespacho__char1"/>
    <w:qFormat/>
    <w:rPr>
      <w:rFonts w:ascii="Times New Roman" w:hAnsi="Times New Roman" w:cs="Times New Roman"/>
      <w:strike w:val="false"/>
      <w:dstrike w:val="false"/>
      <w:sz w:val="26"/>
      <w:szCs w:val="26"/>
      <w:u w:val="none"/>
      <w:effect w:val="none"/>
    </w:rPr>
  </w:style>
  <w:style w:type="character" w:styleId="Em0020ementachar1">
    <w:name w:val="em_0020ementa__char1"/>
    <w:qFormat/>
    <w:rPr>
      <w:rFonts w:ascii="Times New Roman" w:hAnsi="Times New Roman" w:cs="Times New Roman"/>
      <w:strike w:val="false"/>
      <w:dstrike w:val="false"/>
      <w:sz w:val="28"/>
      <w:szCs w:val="28"/>
      <w:u w:val="none"/>
      <w:effect w:val="none"/>
    </w:rPr>
  </w:style>
  <w:style w:type="character" w:styleId="Strong">
    <w:name w:val="Strong"/>
    <w:basedOn w:val="DefaultParagraphFont"/>
    <w:qFormat/>
    <w:rPr>
      <w:b/>
      <w:bCs/>
    </w:rPr>
  </w:style>
  <w:style w:type="character" w:styleId="Nfase">
    <w:name w:val="Ênfase"/>
    <w:basedOn w:val="DefaultParagraphFont"/>
    <w:qFormat/>
    <w:rPr>
      <w:i/>
      <w:iCs/>
    </w:rPr>
  </w:style>
  <w:style w:type="character" w:styleId="Manoel">
    <w:name w:val="Manoel"/>
    <w:qFormat/>
    <w:rPr>
      <w:rFonts w:ascii="Arial" w:hAnsi="Arial" w:cs="Arial"/>
      <w:color w:val="7030A0"/>
      <w:sz w:val="20"/>
    </w:rPr>
  </w:style>
  <w:style w:type="character" w:styleId="GradeColoridanfase1Char">
    <w:name w:val="Grade Colorida - Ênfase 1 Char"/>
    <w:qFormat/>
    <w:rPr>
      <w:rFonts w:ascii="Arial" w:hAnsi="Arial" w:eastAsia="Calibri"/>
      <w:i/>
      <w:iCs/>
      <w:color w:val="000000"/>
      <w:szCs w:val="24"/>
      <w:shd w:fill="FFFFCC" w:val="clear"/>
    </w:rPr>
  </w:style>
  <w:style w:type="character" w:styleId="Highlight">
    <w:name w:val="highlight"/>
    <w:basedOn w:val="DefaultParagraphFont"/>
    <w:qFormat/>
    <w:rPr/>
  </w:style>
  <w:style w:type="character" w:styleId="Linkdainternetvisitado">
    <w:name w:val="Link da internet visitado"/>
    <w:basedOn w:val="DefaultParagraphFont"/>
    <w:rPr>
      <w:color w:val="800080"/>
      <w:u w:val="single"/>
    </w:rPr>
  </w:style>
  <w:style w:type="character" w:styleId="MenoPendente1">
    <w:name w:val="Menção Pendente1"/>
    <w:basedOn w:val="DefaultParagraphFont"/>
    <w:qFormat/>
    <w:rPr>
      <w:color w:val="605E5C"/>
      <w:shd w:fill="E1DFDD" w:val="clear"/>
    </w:rPr>
  </w:style>
  <w:style w:type="character" w:styleId="MenoPendente2">
    <w:name w:val="Menção Pendente2"/>
    <w:basedOn w:val="DefaultParagraphFont"/>
    <w:qFormat/>
    <w:rPr>
      <w:color w:val="605E5C"/>
      <w:shd w:fill="E1DFDD" w:val="clear"/>
    </w:rPr>
  </w:style>
  <w:style w:type="character" w:styleId="Nivel2Char">
    <w:name w:val="Nivel 2 Char"/>
    <w:basedOn w:val="DefaultParagraphFont"/>
    <w:qFormat/>
    <w:rPr>
      <w:rFonts w:ascii="Arial" w:hAnsi="Arial" w:cs="Arial"/>
      <w:color w:val="000000"/>
      <w:lang w:eastAsia="pt-BR"/>
    </w:rPr>
  </w:style>
  <w:style w:type="character" w:styleId="Nvel2OpcionalChar">
    <w:name w:val="Nível 2 Opcional Char"/>
    <w:basedOn w:val="DefaultParagraphFont"/>
    <w:qFormat/>
    <w:rPr>
      <w:rFonts w:ascii="Arial" w:hAnsi="Arial" w:eastAsia="Times New Roman" w:cs="Arial"/>
      <w:i/>
      <w:color w:val="FF0000"/>
      <w:lang w:eastAsia="pt-BR"/>
    </w:rPr>
  </w:style>
  <w:style w:type="character" w:styleId="Nvel3OpcionalChar">
    <w:name w:val="Nível 3 Opcional Char"/>
    <w:basedOn w:val="DefaultParagraphFont"/>
    <w:qFormat/>
    <w:rPr>
      <w:rFonts w:ascii="Arial" w:hAnsi="Arial" w:eastAsia="Times New Roman" w:cs="Arial"/>
      <w:i/>
      <w:iCs/>
      <w:color w:val="FF0000"/>
      <w:lang w:eastAsia="pt-BR"/>
    </w:rPr>
  </w:style>
  <w:style w:type="character" w:styleId="PlaceholderText">
    <w:name w:val="Placeholder Text"/>
    <w:basedOn w:val="DefaultParagraphFont"/>
    <w:qFormat/>
    <w:rPr>
      <w:color w:val="808080"/>
    </w:rPr>
  </w:style>
  <w:style w:type="character" w:styleId="PargrafodaListaChar">
    <w:name w:val="Parágrafo da Lista Char"/>
    <w:basedOn w:val="DefaultParagraphFont"/>
    <w:qFormat/>
    <w:rPr>
      <w:rFonts w:ascii="Ecofont_Spranq_eco_Sans" w:hAnsi="Ecofont_Spranq_eco_Sans" w:cs="Tahoma"/>
      <w:sz w:val="24"/>
      <w:szCs w:val="24"/>
      <w:lang w:eastAsia="pt-BR"/>
    </w:rPr>
  </w:style>
  <w:style w:type="character" w:styleId="Ttulo3Char">
    <w:name w:val="Título 3 Char"/>
    <w:basedOn w:val="DefaultParagraphFont"/>
    <w:qFormat/>
    <w:rPr>
      <w:rFonts w:ascii="Calibri" w:hAnsi="Calibri" w:eastAsia="ＭＳ ゴシック" w:cs="Times New Roman"/>
      <w:color w:val="243F60"/>
      <w:sz w:val="24"/>
      <w:szCs w:val="24"/>
    </w:rPr>
  </w:style>
  <w:style w:type="character" w:styleId="Ttulo6Char">
    <w:name w:val="Título 6 Char"/>
    <w:basedOn w:val="DefaultParagraphFont"/>
    <w:qFormat/>
    <w:rPr>
      <w:rFonts w:ascii="Calibri" w:hAnsi="Calibri" w:eastAsia="ＭＳ ゴシック" w:cs="Times New Roman"/>
      <w:color w:val="243F60"/>
      <w:sz w:val="22"/>
      <w:szCs w:val="22"/>
    </w:rPr>
  </w:style>
  <w:style w:type="character" w:styleId="Markedcontent">
    <w:name w:val="markedcontent"/>
    <w:basedOn w:val="DefaultParagraphFont"/>
    <w:qFormat/>
    <w:rPr/>
  </w:style>
  <w:style w:type="character" w:styleId="MenoPendente3">
    <w:name w:val="Menção Pendente3"/>
    <w:basedOn w:val="DefaultParagraphFont"/>
    <w:qFormat/>
    <w:rPr>
      <w:color w:val="605E5C"/>
      <w:shd w:fill="E1DFDD" w:val="clear"/>
    </w:rPr>
  </w:style>
  <w:style w:type="character" w:styleId="MenoPendente4">
    <w:name w:val="Menção Pendente4"/>
    <w:basedOn w:val="DefaultParagraphFont"/>
    <w:qFormat/>
    <w:rPr>
      <w:color w:val="605E5C"/>
      <w:shd w:fill="E1DFDD" w:val="clear"/>
    </w:rPr>
  </w:style>
  <w:style w:type="character" w:styleId="OuChar">
    <w:name w:val="ou Char"/>
    <w:basedOn w:val="PargrafodaListaChar"/>
    <w:qFormat/>
    <w:rPr>
      <w:rFonts w:ascii="Arial" w:hAnsi="Arial" w:eastAsia="Cambria" w:cs="Arial"/>
      <w:b/>
      <w:bCs/>
      <w:i/>
      <w:iCs/>
      <w:color w:val="FF0000"/>
      <w:sz w:val="24"/>
      <w:szCs w:val="24"/>
      <w:u w:val="single"/>
      <w:lang w:eastAsia="pt-BR"/>
    </w:rPr>
  </w:style>
  <w:style w:type="character" w:styleId="Nvel2RedChar">
    <w:name w:val="Nível 2 -Red Char"/>
    <w:basedOn w:val="Nivel2Char"/>
    <w:qFormat/>
    <w:rPr>
      <w:rFonts w:ascii="Arial" w:hAnsi="Arial" w:cs="Arial"/>
      <w:i/>
      <w:iCs/>
      <w:color w:val="FF0000"/>
      <w:lang w:eastAsia="pt-BR"/>
    </w:rPr>
  </w:style>
  <w:style w:type="character" w:styleId="Nivel3Char">
    <w:name w:val="Nivel 3 Char"/>
    <w:basedOn w:val="DefaultParagraphFont"/>
    <w:qFormat/>
    <w:rPr>
      <w:rFonts w:ascii="Arial" w:hAnsi="Arial" w:cs="Arial"/>
      <w:color w:val="000000"/>
      <w:lang w:eastAsia="pt-BR"/>
    </w:rPr>
  </w:style>
  <w:style w:type="character" w:styleId="Nvel3RChar">
    <w:name w:val="Nível 3-R Char"/>
    <w:basedOn w:val="Nivel3Char"/>
    <w:qFormat/>
    <w:rPr>
      <w:rFonts w:ascii="Arial" w:hAnsi="Arial" w:cs="Arial"/>
      <w:i/>
      <w:iCs/>
      <w:color w:val="FF0000"/>
      <w:lang w:eastAsia="pt-BR"/>
    </w:rPr>
  </w:style>
  <w:style w:type="character" w:styleId="Nvel4RChar">
    <w:name w:val="Nível 4-R Char"/>
    <w:basedOn w:val="Nivel4Char"/>
    <w:qFormat/>
    <w:rPr>
      <w:rFonts w:ascii="Arial" w:hAnsi="Arial" w:cs="Arial"/>
      <w:i/>
      <w:iCs/>
      <w:color w:val="FF0000"/>
      <w:lang w:eastAsia="pt-BR"/>
    </w:rPr>
  </w:style>
  <w:style w:type="character" w:styleId="Nvel1SemNumChar">
    <w:name w:val="Nível 1-Sem Num Char"/>
    <w:basedOn w:val="Nivel01Char"/>
    <w:qFormat/>
    <w:rPr>
      <w:rFonts w:ascii="Arial" w:hAnsi="Arial" w:eastAsia="ＭＳ ゴシック" w:cs="Arial"/>
      <w:b/>
      <w:bCs/>
      <w:color w:val="FF0000"/>
      <w:spacing w:val="5"/>
      <w:kern w:val="2"/>
      <w:sz w:val="52"/>
      <w:szCs w:val="52"/>
      <w:lang w:eastAsia="pt-BR"/>
    </w:rPr>
  </w:style>
  <w:style w:type="character" w:styleId="PrembuloChar">
    <w:name w:val="Preâmbulo Char"/>
    <w:basedOn w:val="DefaultParagraphFont"/>
    <w:qFormat/>
    <w:rPr>
      <w:rFonts w:ascii="Arial" w:hAnsi="Arial" w:eastAsia="Arial" w:cs="Arial"/>
      <w:bCs/>
      <w:lang w:eastAsia="pt-BR"/>
    </w:rPr>
  </w:style>
  <w:style w:type="character" w:styleId="MenoPendente5">
    <w:name w:val="Menção Pendente5"/>
    <w:basedOn w:val="DefaultParagraphFont"/>
    <w:qFormat/>
    <w:rPr>
      <w:color w:val="605E5C"/>
      <w:shd w:fill="E1DFDD" w:val="clear"/>
    </w:rPr>
  </w:style>
  <w:style w:type="character" w:styleId="Citao2Char">
    <w:name w:val="citação 2 Char"/>
    <w:basedOn w:val="CitaoChar"/>
    <w:qFormat/>
    <w:rPr>
      <w:rFonts w:ascii="Arial" w:hAnsi="Arial" w:eastAsia="Calibri" w:cs="Tahoma"/>
      <w:i/>
      <w:iCs/>
      <w:color w:val="000000"/>
      <w:szCs w:val="24"/>
      <w:shd w:fill="FFFFCC" w:val="clear"/>
    </w:rPr>
  </w:style>
  <w:style w:type="character" w:styleId="MenoPendente6">
    <w:name w:val="Menção Pendente6"/>
    <w:basedOn w:val="DefaultParagraphFont"/>
    <w:qFormat/>
    <w:rPr>
      <w:color w:val="605E5C"/>
      <w:shd w:fill="E1DFDD" w:val="clear"/>
    </w:rPr>
  </w:style>
  <w:style w:type="character" w:styleId="Mentionnonrsolue1">
    <w:name w:val="Mention non résolue1"/>
    <w:basedOn w:val="DefaultParagraphFont"/>
    <w:qFormat/>
    <w:rPr>
      <w:color w:val="605E5C"/>
      <w:shd w:fill="E1DFDD" w:val="clear"/>
    </w:rPr>
  </w:style>
  <w:style w:type="character" w:styleId="Vnculodendice">
    <w:name w:val="Vínculo de índice"/>
    <w:qFormat/>
    <w:rPr/>
  </w:style>
  <w:style w:type="character" w:styleId="WW8Num3z0">
    <w:name w:val="WW8Num3z0"/>
    <w:qFormat/>
    <w:rPr>
      <w:rFonts w:cs="Arial"/>
    </w:rPr>
  </w:style>
  <w:style w:type="character" w:styleId="WW8Num3z1">
    <w:name w:val="WW8Num3z1"/>
    <w:qFormat/>
    <w:rPr/>
  </w:style>
  <w:style w:type="character" w:styleId="WW8Num3z2">
    <w:name w:val="WW8Num3z2"/>
    <w:qFormat/>
    <w:rPr/>
  </w:style>
  <w:style w:type="character" w:styleId="WW8Num3z3">
    <w:name w:val="WW8Num3z3"/>
    <w:qFormat/>
    <w:rPr/>
  </w:style>
  <w:style w:type="character" w:styleId="WW8Num3z4">
    <w:name w:val="WW8Num3z4"/>
    <w:qFormat/>
    <w:rPr/>
  </w:style>
  <w:style w:type="character" w:styleId="WW8Num3z5">
    <w:name w:val="WW8Num3z5"/>
    <w:qFormat/>
    <w:rPr/>
  </w:style>
  <w:style w:type="character" w:styleId="WW8Num3z6">
    <w:name w:val="WW8Num3z6"/>
    <w:qFormat/>
    <w:rPr/>
  </w:style>
  <w:style w:type="character" w:styleId="WW8Num3z7">
    <w:name w:val="WW8Num3z7"/>
    <w:qFormat/>
    <w:rPr/>
  </w:style>
  <w:style w:type="character" w:styleId="WW8Num3z8">
    <w:name w:val="WW8Num3z8"/>
    <w:qFormat/>
    <w:rPr/>
  </w:style>
  <w:style w:type="character" w:styleId="Smbolosdenumerao">
    <w:name w:val="Símbolos de numeração"/>
    <w:qFormat/>
    <w:rPr/>
  </w:style>
  <w:style w:type="character" w:styleId="Tipodeletrapredefinidodopargrafo">
    <w:name w:val="Tipo de letra predefinido do parágrafo"/>
    <w:qFormat/>
    <w:rPr/>
  </w:style>
  <w:style w:type="paragraph" w:styleId="Ttulo">
    <w:name w:val="Título"/>
    <w:basedOn w:val="Normal"/>
    <w:next w:val="Corpodotexto"/>
    <w:qFormat/>
    <w:pPr>
      <w:keepNext w:val="true"/>
      <w:spacing w:before="240" w:after="120"/>
    </w:pPr>
    <w:rPr>
      <w:rFonts w:ascii="Liberation Sans" w:hAnsi="Liberation Sans" w:eastAsia="Microsoft YaHei" w:cs="Arial"/>
      <w:sz w:val="28"/>
      <w:szCs w:val="28"/>
    </w:rPr>
  </w:style>
  <w:style w:type="paragraph" w:styleId="Corpodotexto">
    <w:name w:val="Body Text"/>
    <w:basedOn w:val="Normal"/>
    <w:pPr>
      <w:spacing w:before="280" w:after="280"/>
    </w:pPr>
    <w:rPr>
      <w:rFonts w:ascii="Times New Roman" w:hAnsi="Times New Roman" w:eastAsia="Times New Roman" w:cs="Times New Roman"/>
    </w:rPr>
  </w:style>
  <w:style w:type="paragraph" w:styleId="Lista">
    <w:name w:val="List"/>
    <w:basedOn w:val="Corpodotexto"/>
    <w:pPr/>
    <w:rPr>
      <w:rFonts w:cs="Arial"/>
    </w:rPr>
  </w:style>
  <w:style w:type="paragraph" w:styleId="Legenda">
    <w:name w:val="Caption"/>
    <w:basedOn w:val="Normal"/>
    <w:qFormat/>
    <w:pPr>
      <w:suppressLineNumbers/>
      <w:spacing w:before="120" w:after="120"/>
    </w:pPr>
    <w:rPr>
      <w:rFonts w:cs="Arial"/>
      <w:i/>
      <w:iCs/>
      <w:sz w:val="24"/>
      <w:szCs w:val="24"/>
    </w:rPr>
  </w:style>
  <w:style w:type="paragraph" w:styleId="Ndice">
    <w:name w:val="Índice"/>
    <w:basedOn w:val="Normal"/>
    <w:qFormat/>
    <w:pPr>
      <w:suppressLineNumbers/>
    </w:pPr>
    <w:rPr>
      <w:rFonts w:cs="Arial"/>
    </w:rPr>
  </w:style>
  <w:style w:type="paragraph" w:styleId="ListParagraph">
    <w:name w:val="List Paragraph"/>
    <w:basedOn w:val="Normal"/>
    <w:qFormat/>
    <w:pPr>
      <w:spacing w:before="0" w:after="0"/>
      <w:ind w:left="720" w:right="0" w:hanging="0"/>
      <w:contextualSpacing/>
    </w:pPr>
    <w:rPr/>
  </w:style>
  <w:style w:type="paragraph" w:styleId="NormalWeb">
    <w:name w:val="Normal (Web)"/>
    <w:basedOn w:val="Normal"/>
    <w:qFormat/>
    <w:pPr>
      <w:spacing w:before="280" w:after="280"/>
    </w:pPr>
    <w:rPr>
      <w:rFonts w:ascii="Times New Roman" w:hAnsi="Times New Roman" w:cs="Times New Roman"/>
    </w:rPr>
  </w:style>
  <w:style w:type="paragraph" w:styleId="BalloonText">
    <w:name w:val="Balloon Text"/>
    <w:basedOn w:val="Normal"/>
    <w:qFormat/>
    <w:pPr/>
    <w:rPr>
      <w:rFonts w:ascii="Tahoma" w:hAnsi="Tahoma"/>
      <w:sz w:val="16"/>
      <w:szCs w:val="16"/>
    </w:rPr>
  </w:style>
  <w:style w:type="paragraph" w:styleId="Nvel2">
    <w:name w:val="Nível 2"/>
    <w:basedOn w:val="Normal"/>
    <w:next w:val="Normal"/>
    <w:qFormat/>
    <w:pPr>
      <w:spacing w:before="0" w:after="120"/>
      <w:jc w:val="both"/>
    </w:pPr>
    <w:rPr>
      <w:rFonts w:ascii="Arial" w:hAnsi="Arial" w:cs="Times New Roman"/>
      <w:b/>
      <w:szCs w:val="20"/>
    </w:rPr>
  </w:style>
  <w:style w:type="paragraph" w:styleId="Quote">
    <w:name w:val="Quote"/>
    <w:basedOn w:val="Normal"/>
    <w:next w:val="Normal"/>
    <w:qFormat/>
    <w:pPr>
      <w:pBdr>
        <w:top w:val="single" w:sz="4" w:space="1" w:color="1F497D"/>
        <w:left w:val="single" w:sz="4" w:space="4" w:color="1F497D"/>
        <w:bottom w:val="single" w:sz="4" w:space="1" w:color="1F497D"/>
        <w:right w:val="single" w:sz="4" w:space="4" w:color="1F497D"/>
      </w:pBdr>
      <w:shd w:val="clear" w:fill="FFFFCC"/>
      <w:spacing w:before="120" w:after="0"/>
      <w:jc w:val="both"/>
    </w:pPr>
    <w:rPr>
      <w:rFonts w:ascii="Arial" w:hAnsi="Arial" w:eastAsia="Calibri"/>
      <w:i/>
      <w:iCs/>
      <w:color w:val="000000"/>
      <w:sz w:val="20"/>
      <w:lang w:eastAsia="en-US"/>
    </w:rPr>
  </w:style>
  <w:style w:type="paragraph" w:styleId="ListBullet5">
    <w:name w:val="List Bullet 5"/>
    <w:basedOn w:val="Normal"/>
    <w:qFormat/>
    <w:pPr>
      <w:numPr>
        <w:ilvl w:val="0"/>
        <w:numId w:val="2"/>
      </w:numPr>
      <w:spacing w:before="0" w:after="0"/>
      <w:contextualSpacing/>
    </w:pPr>
    <w:rPr/>
  </w:style>
  <w:style w:type="paragraph" w:styleId="Notaexplicativa">
    <w:name w:val="Nota explicativa"/>
    <w:basedOn w:val="Quote"/>
    <w:qFormat/>
    <w:pPr>
      <w:shd w:val="clear" w:fill="FFFFCC"/>
    </w:pPr>
    <w:rPr>
      <w:szCs w:val="20"/>
    </w:rPr>
  </w:style>
  <w:style w:type="paragraph" w:styleId="CabealhoeRodap">
    <w:name w:val="Cabeçalho e Rodapé"/>
    <w:basedOn w:val="Normal"/>
    <w:qFormat/>
    <w:pPr/>
    <w:rPr/>
  </w:style>
  <w:style w:type="paragraph" w:styleId="Cabealho">
    <w:name w:val="Header"/>
    <w:basedOn w:val="Normal"/>
    <w:pPr>
      <w:tabs>
        <w:tab w:val="clear" w:pos="708"/>
        <w:tab w:val="center" w:pos="4252" w:leader="none"/>
        <w:tab w:val="right" w:pos="8504" w:leader="none"/>
      </w:tabs>
    </w:pPr>
    <w:rPr/>
  </w:style>
  <w:style w:type="paragraph" w:styleId="Rodap">
    <w:name w:val="Footer"/>
    <w:basedOn w:val="Normal"/>
    <w:pPr>
      <w:tabs>
        <w:tab w:val="clear" w:pos="708"/>
        <w:tab w:val="center" w:pos="4252" w:leader="none"/>
        <w:tab w:val="right" w:pos="8504" w:leader="none"/>
      </w:tabs>
    </w:pPr>
    <w:rPr/>
  </w:style>
  <w:style w:type="paragraph" w:styleId="Annotationtext">
    <w:name w:val="annotation text"/>
    <w:basedOn w:val="Normal"/>
    <w:qFormat/>
    <w:pPr/>
    <w:rPr>
      <w:sz w:val="20"/>
      <w:szCs w:val="20"/>
    </w:rPr>
  </w:style>
  <w:style w:type="paragraph" w:styleId="Annotationsubject">
    <w:name w:val="annotation subject"/>
    <w:basedOn w:val="Annotationtext"/>
    <w:next w:val="Annotationtext"/>
    <w:qFormat/>
    <w:pPr/>
    <w:rPr>
      <w:b/>
      <w:bCs/>
    </w:rPr>
  </w:style>
  <w:style w:type="paragraph" w:styleId="Nivel01">
    <w:name w:val="Nivel 01"/>
    <w:basedOn w:val="Ttulo1"/>
    <w:next w:val="Normal"/>
    <w:autoRedefine/>
    <w:qFormat/>
    <w:pPr>
      <w:keepNext w:val="true"/>
      <w:keepLines/>
      <w:widowControl/>
      <w:numPr>
        <w:ilvl w:val="0"/>
        <w:numId w:val="1"/>
      </w:numPr>
      <w:tabs>
        <w:tab w:val="clear" w:pos="708"/>
        <w:tab w:val="left" w:pos="0" w:leader="none"/>
      </w:tabs>
      <w:suppressAutoHyphens w:val="true"/>
      <w:overflowPunct w:val="true"/>
      <w:bidi w:val="0"/>
      <w:spacing w:lineRule="auto" w:line="240" w:before="0" w:after="0"/>
      <w:ind w:left="0" w:right="0" w:hanging="0"/>
      <w:jc w:val="both"/>
    </w:pPr>
    <w:rPr>
      <w:rFonts w:ascii="Arial" w:hAnsi="Arial" w:cs="Arial"/>
      <w:b/>
      <w:bCs/>
      <w:color w:val="auto"/>
      <w:sz w:val="20"/>
      <w:szCs w:val="20"/>
      <w:u w:val="none"/>
    </w:rPr>
  </w:style>
  <w:style w:type="paragraph" w:styleId="Nivel01Titulo">
    <w:name w:val="Nivel_01_Titulo"/>
    <w:basedOn w:val="Nivel01"/>
    <w:qFormat/>
    <w:pPr>
      <w:jc w:val="left"/>
    </w:pPr>
    <w:rPr>
      <w:rFonts w:cs="Times New Roman"/>
      <w:color w:val="000000"/>
      <w:spacing w:val="5"/>
      <w:kern w:val="2"/>
      <w:sz w:val="52"/>
      <w:szCs w:val="52"/>
    </w:rPr>
  </w:style>
  <w:style w:type="paragraph" w:styleId="Ttulododocumento">
    <w:name w:val="Title"/>
    <w:basedOn w:val="Normal"/>
    <w:next w:val="Normal"/>
    <w:qFormat/>
    <w:pPr>
      <w:pBdr>
        <w:bottom w:val="single" w:sz="8" w:space="4" w:color="4F81BD"/>
      </w:pBdr>
      <w:spacing w:before="0" w:after="300"/>
      <w:contextualSpacing/>
    </w:pPr>
    <w:rPr>
      <w:rFonts w:ascii="Calibri" w:hAnsi="Calibri" w:eastAsia="ＭＳ ゴシック" w:cs="Times New Roman"/>
      <w:color w:val="17365D"/>
      <w:spacing w:val="5"/>
      <w:kern w:val="2"/>
      <w:sz w:val="52"/>
      <w:szCs w:val="52"/>
    </w:rPr>
  </w:style>
  <w:style w:type="paragraph" w:styleId="PADRO">
    <w:name w:val="PADRÃO"/>
    <w:qFormat/>
    <w:pPr>
      <w:keepNext w:val="true"/>
      <w:widowControl w:val="false"/>
      <w:shd w:val="clear" w:fill="FFFFFF"/>
      <w:suppressAutoHyphens w:val="true"/>
      <w:overflowPunct w:val="true"/>
      <w:bidi w:val="0"/>
      <w:spacing w:lineRule="auto" w:line="276" w:before="119" w:after="119"/>
      <w:ind w:left="0" w:right="0" w:firstLine="567"/>
      <w:jc w:val="both"/>
      <w:textAlignment w:val="baseline"/>
    </w:pPr>
    <w:rPr>
      <w:rFonts w:ascii="Ecofont_Spranq_eco_Sans" w:hAnsi="Ecofont_Spranq_eco_Sans" w:eastAsia="WenQuanYi Micro Hei" w:cs="Lohit Hindi"/>
      <w:color w:val="auto"/>
      <w:kern w:val="0"/>
      <w:sz w:val="20"/>
      <w:szCs w:val="24"/>
      <w:lang w:val="pt-BR" w:eastAsia="zh-CN" w:bidi="hi-IN"/>
    </w:rPr>
  </w:style>
  <w:style w:type="paragraph" w:styleId="Citao1">
    <w:name w:val="Citação1"/>
    <w:basedOn w:val="Normal"/>
    <w:next w:val="Normal"/>
    <w:qFormat/>
    <w:pPr>
      <w:pBdr>
        <w:top w:val="single" w:sz="4" w:space="1" w:color="1F497D"/>
        <w:left w:val="single" w:sz="4" w:space="4" w:color="1F497D"/>
        <w:bottom w:val="single" w:sz="4" w:space="1" w:color="1F497D"/>
        <w:right w:val="single" w:sz="4" w:space="4" w:color="1F497D"/>
      </w:pBdr>
      <w:shd w:val="clear" w:fill="FFFFCC"/>
      <w:spacing w:before="120" w:after="0"/>
      <w:jc w:val="both"/>
    </w:pPr>
    <w:rPr>
      <w:rFonts w:eastAsia="Calibri"/>
      <w:i/>
      <w:iCs/>
      <w:color w:val="000000"/>
      <w:sz w:val="20"/>
      <w:szCs w:val="20"/>
      <w:lang w:eastAsia="en-US"/>
    </w:rPr>
  </w:style>
  <w:style w:type="paragraph" w:styleId="Paragraph">
    <w:name w:val="paragraph"/>
    <w:basedOn w:val="Normal"/>
    <w:qFormat/>
    <w:pPr>
      <w:spacing w:before="280" w:after="280"/>
    </w:pPr>
    <w:rPr>
      <w:rFonts w:ascii="Times New Roman" w:hAnsi="Times New Roman" w:eastAsia="Times New Roman" w:cs="Times New Roman"/>
    </w:rPr>
  </w:style>
  <w:style w:type="paragraph" w:styleId="Nivel1">
    <w:name w:val="Nivel1"/>
    <w:basedOn w:val="Ttulo1"/>
    <w:qFormat/>
    <w:pPr>
      <w:tabs>
        <w:tab w:val="clear" w:pos="708"/>
      </w:tabs>
      <w:spacing w:lineRule="auto" w:line="240" w:before="0" w:after="0"/>
      <w:ind w:left="0" w:right="0" w:hanging="0"/>
      <w:jc w:val="both"/>
    </w:pPr>
    <w:rPr>
      <w:rFonts w:ascii="Arial" w:hAnsi="Arial" w:cs="Arial"/>
      <w:bCs w:val="false"/>
      <w:color w:val="000000"/>
    </w:rPr>
  </w:style>
  <w:style w:type="paragraph" w:styleId="PargrafodaLista1">
    <w:name w:val="Parágrafo da Lista1"/>
    <w:basedOn w:val="Normal"/>
    <w:qFormat/>
    <w:pPr>
      <w:ind w:left="720" w:right="0" w:hanging="0"/>
    </w:pPr>
    <w:rPr>
      <w:rFonts w:eastAsia="Times New Roman" w:cs="Ecofont_Spranq_eco_Sans"/>
    </w:rPr>
  </w:style>
  <w:style w:type="paragraph" w:styleId="Nivel2">
    <w:name w:val="Nivel 2"/>
    <w:basedOn w:val="Normal"/>
    <w:qFormat/>
    <w:pPr>
      <w:numPr>
        <w:ilvl w:val="0"/>
        <w:numId w:val="1"/>
      </w:numPr>
      <w:tabs>
        <w:tab w:val="clear" w:pos="708"/>
      </w:tabs>
      <w:spacing w:lineRule="auto" w:line="240" w:before="0" w:after="0"/>
      <w:ind w:left="0" w:right="0" w:hanging="0"/>
      <w:jc w:val="both"/>
    </w:pPr>
    <w:rPr>
      <w:rFonts w:ascii="Arial" w:hAnsi="Arial" w:cs="Arial"/>
      <w:color w:val="000000"/>
      <w:sz w:val="20"/>
      <w:szCs w:val="20"/>
    </w:rPr>
  </w:style>
  <w:style w:type="paragraph" w:styleId="Nivel11">
    <w:name w:val="Nivel 1"/>
    <w:basedOn w:val="Nivel2"/>
    <w:next w:val="Nivel2"/>
    <w:qFormat/>
    <w:pPr>
      <w:numPr>
        <w:ilvl w:val="0"/>
        <w:numId w:val="0"/>
      </w:numPr>
      <w:spacing w:lineRule="auto" w:line="240"/>
      <w:ind w:left="0" w:right="0" w:hanging="0"/>
    </w:pPr>
    <w:rPr>
      <w:b/>
    </w:rPr>
  </w:style>
  <w:style w:type="paragraph" w:styleId="Nivel3">
    <w:name w:val="Nivel 3"/>
    <w:basedOn w:val="Normal"/>
    <w:qFormat/>
    <w:pPr>
      <w:numPr>
        <w:ilvl w:val="0"/>
        <w:numId w:val="1"/>
      </w:numPr>
      <w:tabs>
        <w:tab w:val="clear" w:pos="708"/>
      </w:tabs>
      <w:spacing w:lineRule="auto" w:line="240" w:before="0" w:after="0"/>
      <w:ind w:left="0" w:right="0" w:hanging="0"/>
      <w:jc w:val="both"/>
    </w:pPr>
    <w:rPr>
      <w:rFonts w:ascii="Arial" w:hAnsi="Arial" w:cs="Arial"/>
      <w:color w:val="000000"/>
      <w:sz w:val="20"/>
      <w:szCs w:val="20"/>
    </w:rPr>
  </w:style>
  <w:style w:type="paragraph" w:styleId="Nivel4">
    <w:name w:val="Nivel 4"/>
    <w:basedOn w:val="Nivel3"/>
    <w:qFormat/>
    <w:pPr>
      <w:ind w:left="0" w:right="0" w:hanging="0"/>
    </w:pPr>
    <w:rPr>
      <w:color w:val="auto"/>
    </w:rPr>
  </w:style>
  <w:style w:type="paragraph" w:styleId="Nivel5">
    <w:name w:val="Nivel 5"/>
    <w:basedOn w:val="Nivel4"/>
    <w:qFormat/>
    <w:pPr>
      <w:ind w:left="0" w:right="0" w:hanging="0"/>
    </w:pPr>
    <w:rPr/>
  </w:style>
  <w:style w:type="paragraph" w:styleId="Textbody">
    <w:name w:val="textbody"/>
    <w:basedOn w:val="Normal"/>
    <w:qFormat/>
    <w:pPr>
      <w:spacing w:before="280" w:after="280"/>
    </w:pPr>
    <w:rPr>
      <w:rFonts w:ascii="Times New Roman" w:hAnsi="Times New Roman" w:eastAsia="Times New Roman" w:cs="Times New Roman"/>
    </w:rPr>
  </w:style>
  <w:style w:type="paragraph" w:styleId="Em0020ementa">
    <w:name w:val="em_0020ementa"/>
    <w:basedOn w:val="Normal"/>
    <w:qFormat/>
    <w:pPr>
      <w:ind w:left="4160" w:right="0" w:hanging="0"/>
      <w:jc w:val="both"/>
    </w:pPr>
    <w:rPr>
      <w:rFonts w:ascii="Times New Roman" w:hAnsi="Times New Roman" w:eastAsia="Times New Roman" w:cs="Times New Roman"/>
      <w:sz w:val="28"/>
      <w:szCs w:val="28"/>
    </w:rPr>
  </w:style>
  <w:style w:type="paragraph" w:styleId="Revision">
    <w:name w:val="Revision"/>
    <w:qFormat/>
    <w:pPr>
      <w:widowControl/>
      <w:suppressAutoHyphens w:val="true"/>
      <w:overflowPunct w:val="true"/>
      <w:bidi w:val="0"/>
      <w:spacing w:before="0" w:after="0"/>
      <w:jc w:val="left"/>
    </w:pPr>
    <w:rPr>
      <w:rFonts w:ascii="Ecofont_Spranq_eco_Sans" w:hAnsi="Ecofont_Spranq_eco_Sans" w:eastAsia="Times New Roman" w:cs="Tahoma"/>
      <w:color w:val="auto"/>
      <w:kern w:val="0"/>
      <w:sz w:val="24"/>
      <w:szCs w:val="24"/>
      <w:lang w:val="pt-BR" w:eastAsia="pt-BR" w:bidi="ar-SA"/>
    </w:rPr>
  </w:style>
  <w:style w:type="paragraph" w:styleId="Texto1">
    <w:name w:val="texto1"/>
    <w:basedOn w:val="Normal"/>
    <w:qFormat/>
    <w:pPr>
      <w:spacing w:before="280" w:after="280"/>
    </w:pPr>
    <w:rPr>
      <w:rFonts w:ascii="Times New Roman" w:hAnsi="Times New Roman" w:eastAsia="Times New Roman" w:cs="Times New Roman"/>
    </w:rPr>
  </w:style>
  <w:style w:type="paragraph" w:styleId="GradeColoridanfase11">
    <w:name w:val="Grade Colorida - Ênfase 11"/>
    <w:basedOn w:val="Normal"/>
    <w:next w:val="Normal"/>
    <w:qFormat/>
    <w:pPr>
      <w:pBdr>
        <w:top w:val="single" w:sz="4" w:space="1" w:color="1F497D"/>
        <w:left w:val="single" w:sz="4" w:space="4" w:color="1F497D"/>
        <w:bottom w:val="single" w:sz="4" w:space="1" w:color="1F497D"/>
        <w:right w:val="single" w:sz="4" w:space="4" w:color="1F497D"/>
      </w:pBdr>
      <w:shd w:val="clear" w:fill="FFFFCC"/>
      <w:spacing w:before="120" w:after="0"/>
      <w:jc w:val="both"/>
    </w:pPr>
    <w:rPr>
      <w:rFonts w:ascii="Arial" w:hAnsi="Arial" w:eastAsia="Calibri" w:cs="Times New Roman"/>
      <w:i/>
      <w:iCs/>
      <w:color w:val="000000"/>
      <w:sz w:val="20"/>
      <w:lang w:eastAsia="en-US"/>
    </w:rPr>
  </w:style>
  <w:style w:type="paragraph" w:styleId="Xwestern">
    <w:name w:val="x_western"/>
    <w:basedOn w:val="Normal"/>
    <w:qFormat/>
    <w:pPr>
      <w:spacing w:before="280" w:after="280"/>
    </w:pPr>
    <w:rPr>
      <w:rFonts w:ascii="Times New Roman" w:hAnsi="Times New Roman" w:eastAsia="Times New Roman" w:cs="Times New Roman"/>
    </w:rPr>
  </w:style>
  <w:style w:type="paragraph" w:styleId="TCUAcitem90">
    <w:name w:val="TCU - Ac - item 9 - §§_0"/>
    <w:basedOn w:val="Normal"/>
    <w:qFormat/>
    <w:pPr>
      <w:ind w:left="0" w:right="0" w:firstLine="1134"/>
      <w:jc w:val="both"/>
    </w:pPr>
    <w:rPr>
      <w:rFonts w:ascii="Times New Roman" w:hAnsi="Times New Roman" w:eastAsia="Times New Roman" w:cs="Times New Roman"/>
      <w:szCs w:val="22"/>
      <w:lang w:eastAsia="en-US"/>
    </w:rPr>
  </w:style>
  <w:style w:type="paragraph" w:styleId="Normal1">
    <w:name w:val="Normal_1"/>
    <w:qFormat/>
    <w:pPr>
      <w:widowControl/>
      <w:suppressAutoHyphens w:val="true"/>
      <w:overflowPunct w:val="true"/>
      <w:bidi w:val="0"/>
      <w:spacing w:before="0" w:after="0"/>
      <w:jc w:val="left"/>
    </w:pPr>
    <w:rPr>
      <w:rFonts w:ascii="Times New Roman" w:hAnsi="Times New Roman" w:eastAsia="Times New Roman" w:cs="Times New Roman"/>
      <w:color w:val="auto"/>
      <w:kern w:val="0"/>
      <w:sz w:val="24"/>
      <w:szCs w:val="22"/>
      <w:lang w:val="pt-BR" w:eastAsia="en-US" w:bidi="ar-SA"/>
    </w:rPr>
  </w:style>
  <w:style w:type="paragraph" w:styleId="Tcuacitem91linha">
    <w:name w:val="tcu_-__ac_-_item_9_-_1ª_linha"/>
    <w:basedOn w:val="Normal"/>
    <w:qFormat/>
    <w:pPr>
      <w:spacing w:before="280" w:after="280"/>
    </w:pPr>
    <w:rPr>
      <w:rFonts w:ascii="Times New Roman" w:hAnsi="Times New Roman" w:eastAsia="Times New Roman" w:cs="Times New Roman"/>
    </w:rPr>
  </w:style>
  <w:style w:type="paragraph" w:styleId="Textojustificadorecuoprimeiralinha">
    <w:name w:val="texto_justificado_recuo_primeira_linha"/>
    <w:basedOn w:val="Normal"/>
    <w:qFormat/>
    <w:pPr>
      <w:spacing w:before="280" w:after="280"/>
    </w:pPr>
    <w:rPr>
      <w:rFonts w:ascii="Times New Roman" w:hAnsi="Times New Roman" w:eastAsia="Times New Roman" w:cs="Times New Roman"/>
    </w:rPr>
  </w:style>
  <w:style w:type="paragraph" w:styleId="Textojustificado">
    <w:name w:val="texto_justificado"/>
    <w:basedOn w:val="Normal"/>
    <w:qFormat/>
    <w:pPr>
      <w:spacing w:before="280" w:after="280"/>
    </w:pPr>
    <w:rPr>
      <w:rFonts w:ascii="Times New Roman" w:hAnsi="Times New Roman" w:eastAsia="Times New Roman" w:cs="Times New Roman"/>
    </w:rPr>
  </w:style>
  <w:style w:type="paragraph" w:styleId="Nvel2Opcional">
    <w:name w:val="Nível 2 Opcional"/>
    <w:basedOn w:val="Nivel2"/>
    <w:qFormat/>
    <w:pPr>
      <w:numPr>
        <w:ilvl w:val="0"/>
        <w:numId w:val="0"/>
      </w:numPr>
      <w:ind w:left="432" w:right="0" w:hanging="432"/>
    </w:pPr>
    <w:rPr>
      <w:rFonts w:eastAsia="Times New Roman"/>
      <w:i/>
      <w:color w:val="FF0000"/>
    </w:rPr>
  </w:style>
  <w:style w:type="paragraph" w:styleId="Nvel3Opcional">
    <w:name w:val="Nível 3 Opcional"/>
    <w:basedOn w:val="Nivel3"/>
    <w:qFormat/>
    <w:pPr>
      <w:numPr>
        <w:ilvl w:val="0"/>
        <w:numId w:val="0"/>
      </w:numPr>
      <w:ind w:left="1072" w:right="0" w:hanging="504"/>
    </w:pPr>
    <w:rPr>
      <w:rFonts w:eastAsia="Times New Roman"/>
      <w:i/>
      <w:iCs/>
      <w:color w:val="FF0000"/>
    </w:rPr>
  </w:style>
  <w:style w:type="paragraph" w:styleId="SombreamentoMdio1nfase31">
    <w:name w:val="Sombreamento Médio 1 - Ênfase 31"/>
    <w:basedOn w:val="Normal"/>
    <w:next w:val="Normal"/>
    <w:qFormat/>
    <w:pPr>
      <w:pBdr>
        <w:top w:val="single" w:sz="4" w:space="1" w:color="000080"/>
        <w:left w:val="single" w:sz="4" w:space="4" w:color="000080"/>
        <w:bottom w:val="single" w:sz="4" w:space="1" w:color="000080"/>
        <w:right w:val="single" w:sz="4" w:space="4" w:color="000080"/>
      </w:pBdr>
      <w:shd w:val="clear" w:fill="FFFFCC"/>
      <w:suppressAutoHyphens w:val="true"/>
      <w:spacing w:before="120" w:after="0"/>
      <w:jc w:val="both"/>
    </w:pPr>
    <w:rPr>
      <w:rFonts w:eastAsia="Calibri"/>
      <w:i/>
      <w:iCs/>
      <w:color w:val="000000"/>
      <w:sz w:val="20"/>
      <w:lang w:eastAsia="zh-CN"/>
    </w:rPr>
  </w:style>
  <w:style w:type="paragraph" w:styleId="Corpo">
    <w:name w:val="corpo"/>
    <w:basedOn w:val="Normal"/>
    <w:qFormat/>
    <w:pPr>
      <w:spacing w:before="280" w:after="280"/>
    </w:pPr>
    <w:rPr>
      <w:rFonts w:ascii="Times New Roman" w:hAnsi="Times New Roman" w:eastAsia="Times New Roman" w:cs="Times New Roman"/>
    </w:rPr>
  </w:style>
  <w:style w:type="paragraph" w:styleId="Itemnivel2">
    <w:name w:val="item_nivel2"/>
    <w:basedOn w:val="Normal"/>
    <w:qFormat/>
    <w:pPr>
      <w:spacing w:before="280" w:after="280"/>
    </w:pPr>
    <w:rPr>
      <w:rFonts w:ascii="Times New Roman" w:hAnsi="Times New Roman" w:eastAsia="Times New Roman" w:cs="Times New Roman"/>
    </w:rPr>
  </w:style>
  <w:style w:type="paragraph" w:styleId="Itemnivel1">
    <w:name w:val="item_nivel1"/>
    <w:basedOn w:val="Normal"/>
    <w:qFormat/>
    <w:pPr>
      <w:spacing w:before="280" w:after="280"/>
    </w:pPr>
    <w:rPr>
      <w:rFonts w:ascii="Times New Roman" w:hAnsi="Times New Roman" w:eastAsia="Times New Roman" w:cs="Times New Roman"/>
    </w:rPr>
  </w:style>
  <w:style w:type="paragraph" w:styleId="Itemalinealetra">
    <w:name w:val="item_alinea_letra"/>
    <w:basedOn w:val="Normal"/>
    <w:qFormat/>
    <w:pPr>
      <w:spacing w:before="280" w:after="280"/>
    </w:pPr>
    <w:rPr>
      <w:rFonts w:ascii="Times New Roman" w:hAnsi="Times New Roman" w:eastAsia="Times New Roman" w:cs="Times New Roman"/>
    </w:rPr>
  </w:style>
  <w:style w:type="paragraph" w:styleId="Standard">
    <w:name w:val="Standard"/>
    <w:qFormat/>
    <w:pPr>
      <w:widowControl/>
      <w:suppressAutoHyphens w:val="true"/>
      <w:overflowPunct w:val="true"/>
      <w:bidi w:val="0"/>
      <w:spacing w:before="0" w:after="0"/>
      <w:jc w:val="left"/>
    </w:pPr>
    <w:rPr>
      <w:rFonts w:ascii="Liberation Serif" w:hAnsi="Liberation Serif" w:eastAsia="NSimSun" w:cs="Lucida Sans"/>
      <w:color w:val="auto"/>
      <w:kern w:val="2"/>
      <w:sz w:val="24"/>
      <w:szCs w:val="24"/>
      <w:lang w:val="pt-BR" w:eastAsia="zh-CN" w:bidi="hi-IN"/>
    </w:rPr>
  </w:style>
  <w:style w:type="paragraph" w:styleId="Textbody1">
    <w:name w:val="Text body"/>
    <w:basedOn w:val="Standard"/>
    <w:qFormat/>
    <w:pPr>
      <w:spacing w:lineRule="auto" w:line="276" w:before="0" w:after="140"/>
    </w:pPr>
    <w:rPr/>
  </w:style>
  <w:style w:type="paragraph" w:styleId="Ou">
    <w:name w:val="ou"/>
    <w:basedOn w:val="ListParagraph"/>
    <w:qFormat/>
    <w:pPr>
      <w:spacing w:lineRule="auto" w:line="259" w:before="60" w:after="60"/>
      <w:ind w:left="0" w:right="0" w:hanging="0"/>
      <w:contextualSpacing/>
      <w:jc w:val="center"/>
    </w:pPr>
    <w:rPr>
      <w:rFonts w:ascii="Arial" w:hAnsi="Arial" w:eastAsia="Cambria" w:cs="Arial"/>
      <w:b/>
      <w:bCs/>
      <w:i/>
      <w:iCs/>
      <w:color w:val="FF0000"/>
      <w:u w:val="single"/>
    </w:rPr>
  </w:style>
  <w:style w:type="paragraph" w:styleId="Douparagraph">
    <w:name w:val="dou-paragraph"/>
    <w:basedOn w:val="Normal"/>
    <w:qFormat/>
    <w:pPr>
      <w:spacing w:before="280" w:after="280"/>
    </w:pPr>
    <w:rPr>
      <w:rFonts w:ascii="Times New Roman" w:hAnsi="Times New Roman" w:eastAsia="Times New Roman" w:cs="Times New Roman"/>
    </w:rPr>
  </w:style>
  <w:style w:type="paragraph" w:styleId="Nvel2Red">
    <w:name w:val="Nível 2 -Red"/>
    <w:basedOn w:val="Nivel2"/>
    <w:qFormat/>
    <w:pPr/>
    <w:rPr>
      <w:i/>
      <w:iCs/>
      <w:color w:val="FF0000"/>
    </w:rPr>
  </w:style>
  <w:style w:type="paragraph" w:styleId="Nvel3R">
    <w:name w:val="Nível 3-R"/>
    <w:basedOn w:val="Nivel3"/>
    <w:qFormat/>
    <w:pPr/>
    <w:rPr>
      <w:i/>
      <w:iCs/>
      <w:color w:val="FF0000"/>
    </w:rPr>
  </w:style>
  <w:style w:type="paragraph" w:styleId="Nvel4R">
    <w:name w:val="Nível 4-R"/>
    <w:basedOn w:val="Nivel4"/>
    <w:qFormat/>
    <w:pPr/>
    <w:rPr>
      <w:i/>
      <w:iCs/>
      <w:color w:val="FF0000"/>
    </w:rPr>
  </w:style>
  <w:style w:type="paragraph" w:styleId="Nvel1SemNum">
    <w:name w:val="Nível 1-Sem Num"/>
    <w:basedOn w:val="Nivel01"/>
    <w:qFormat/>
    <w:pPr>
      <w:outlineLvl w:val="1"/>
    </w:pPr>
    <w:rPr>
      <w:color w:val="FF0000"/>
    </w:rPr>
  </w:style>
  <w:style w:type="paragraph" w:styleId="Citao2">
    <w:name w:val="citação 2"/>
    <w:basedOn w:val="Quote"/>
    <w:qFormat/>
    <w:pPr>
      <w:shd w:val="clear" w:fill="FFFFCC"/>
      <w:overflowPunct w:val="true"/>
    </w:pPr>
    <w:rPr>
      <w:szCs w:val="20"/>
    </w:rPr>
  </w:style>
  <w:style w:type="paragraph" w:styleId="Prembulo">
    <w:name w:val="Preâmbulo"/>
    <w:basedOn w:val="Normal"/>
    <w:qFormat/>
    <w:pPr>
      <w:spacing w:lineRule="auto" w:line="360" w:before="480" w:after="120"/>
      <w:ind w:left="4253" w:right="-17" w:hanging="0"/>
      <w:jc w:val="both"/>
    </w:pPr>
    <w:rPr>
      <w:rFonts w:ascii="Arial" w:hAnsi="Arial" w:eastAsia="Arial" w:cs="Arial"/>
      <w:bCs/>
      <w:sz w:val="20"/>
      <w:szCs w:val="20"/>
    </w:rPr>
  </w:style>
  <w:style w:type="paragraph" w:styleId="Ttulodondicealfabtico">
    <w:name w:val="Index Heading"/>
    <w:basedOn w:val="Ttulo"/>
    <w:pPr/>
    <w:rPr/>
  </w:style>
  <w:style w:type="paragraph" w:styleId="TOCHeading">
    <w:name w:val="TOC Heading"/>
    <w:basedOn w:val="Ttulo1"/>
    <w:next w:val="Normal"/>
    <w:qFormat/>
    <w:pPr>
      <w:spacing w:lineRule="auto" w:line="259" w:before="240" w:after="0"/>
    </w:pPr>
    <w:rPr>
      <w:b w:val="false"/>
      <w:bCs w:val="false"/>
      <w:sz w:val="32"/>
      <w:szCs w:val="32"/>
    </w:rPr>
  </w:style>
  <w:style w:type="paragraph" w:styleId="Sumrio1">
    <w:name w:val="TOC 1"/>
    <w:basedOn w:val="Normal"/>
    <w:next w:val="Normal"/>
    <w:autoRedefine/>
    <w:pPr>
      <w:tabs>
        <w:tab w:val="clear" w:pos="708"/>
        <w:tab w:val="left" w:pos="426" w:leader="none"/>
        <w:tab w:val="right" w:pos="9628" w:leader="dot"/>
      </w:tabs>
      <w:spacing w:before="0" w:after="100"/>
    </w:pPr>
    <w:rPr>
      <w:rFonts w:ascii="Arial" w:hAnsi="Arial" w:eastAsia="Times New Roman"/>
      <w:sz w:val="20"/>
    </w:rPr>
  </w:style>
  <w:style w:type="paragraph" w:styleId="DivisodeTabelas">
    <w:name w:val="Divisão de Tabelas"/>
    <w:basedOn w:val="Normal"/>
    <w:qFormat/>
    <w:pPr>
      <w:suppressAutoHyphens w:val="true"/>
      <w:spacing w:lineRule="exact" w:line="20"/>
    </w:pPr>
    <w:rPr>
      <w:rFonts w:ascii="Times New Roman" w:hAnsi="Times New Roman" w:eastAsia="Arial" w:cs="Times New Roman"/>
      <w:sz w:val="20"/>
      <w:szCs w:val="20"/>
      <w:lang w:eastAsia="hi-IN" w:bidi="hi-IN"/>
    </w:rPr>
  </w:style>
  <w:style w:type="paragraph" w:styleId="Contedodatabela">
    <w:name w:val="Conteúdo da tabela"/>
    <w:basedOn w:val="Normal"/>
    <w:qFormat/>
    <w:pPr>
      <w:widowControl w:val="false"/>
      <w:suppressLineNumbers/>
    </w:pPr>
    <w:rPr/>
  </w:style>
  <w:style w:type="paragraph" w:styleId="Ttulodetabela">
    <w:name w:val="Título de tabela"/>
    <w:basedOn w:val="Contedodatabela"/>
    <w:qFormat/>
    <w:pPr>
      <w:suppressLineNumbers/>
      <w:jc w:val="center"/>
    </w:pPr>
    <w:rPr>
      <w:b/>
      <w:bCs/>
    </w:rPr>
  </w:style>
  <w:style w:type="paragraph" w:styleId="Recuodecorpodetexto21">
    <w:name w:val="Recuo de corpo de texto 21"/>
    <w:basedOn w:val="Normal"/>
    <w:qFormat/>
    <w:pPr>
      <w:widowControl w:val="false"/>
      <w:spacing w:lineRule="auto" w:line="480" w:before="0" w:after="120"/>
      <w:ind w:left="283" w:right="0" w:hanging="0"/>
    </w:pPr>
    <w:rPr>
      <w:rFonts w:ascii="Courier;Courier New" w:hAnsi="Courier;Courier New" w:eastAsia="Arial" w:cs="Times New Roman"/>
      <w:color w:val="auto"/>
      <w:sz w:val="20"/>
      <w:szCs w:val="20"/>
    </w:rPr>
  </w:style>
  <w:style w:type="paragraph" w:styleId="SubTitNN">
    <w:name w:val="SubTitNN"/>
    <w:basedOn w:val="Normal"/>
    <w:qFormat/>
    <w:pPr>
      <w:spacing w:lineRule="auto" w:line="276" w:before="240" w:after="120"/>
      <w:jc w:val="both"/>
    </w:pPr>
    <w:rPr>
      <w:rFonts w:ascii="Arial" w:hAnsi="Arial" w:cs="Arial"/>
      <w:b/>
      <w:bCs/>
      <w:iCs/>
      <w:sz w:val="20"/>
      <w:szCs w:val="20"/>
    </w:rPr>
  </w:style>
  <w:style w:type="paragraph" w:styleId="Nvel3">
    <w:name w:val="Nível 3"/>
    <w:basedOn w:val="Nvel3R"/>
    <w:qFormat/>
    <w:pPr/>
    <w:rPr>
      <w:rFonts w:eastAsia="Times New Roman"/>
      <w:i w:val="false"/>
      <w:iCs w:val="false"/>
      <w:color w:val="auto"/>
    </w:rPr>
  </w:style>
  <w:style w:type="paragraph" w:styleId="Nvel4">
    <w:name w:val="Nível 4"/>
    <w:basedOn w:val="Nvel3"/>
    <w:qFormat/>
    <w:pPr>
      <w:ind w:left="567" w:right="0" w:hanging="0"/>
    </w:pPr>
    <w:rPr/>
  </w:style>
  <w:style w:type="paragraph" w:styleId="Textosimples1">
    <w:name w:val="Texto simples1"/>
    <w:basedOn w:val="Normal"/>
    <w:qFormat/>
    <w:pPr>
      <w:widowControl/>
    </w:pPr>
    <w:rPr>
      <w:rFonts w:ascii="Courier New" w:hAnsi="Courier New" w:eastAsia="Arial" w:cs="Times New Roman"/>
      <w:color w:val="auto"/>
      <w:sz w:val="20"/>
      <w:szCs w:val="20"/>
    </w:rPr>
  </w:style>
  <w:style w:type="paragraph" w:styleId="PargrafodaLista">
    <w:name w:val="Parágrafo da Lista"/>
    <w:basedOn w:val="Normal"/>
    <w:qFormat/>
    <w:pPr>
      <w:ind w:left="708" w:right="0" w:hanging="0"/>
    </w:pPr>
    <w:rPr/>
  </w:style>
  <w:style w:type="paragraph" w:styleId="Corpodetexto33">
    <w:name w:val="Corpo de texto 33"/>
    <w:basedOn w:val="Standard"/>
    <w:qFormat/>
    <w:pPr>
      <w:suppressAutoHyphens w:val="true"/>
      <w:spacing w:lineRule="auto" w:line="360" w:before="0" w:after="0"/>
      <w:jc w:val="both"/>
    </w:pPr>
    <w:rPr>
      <w:rFonts w:ascii="Arial" w:hAnsi="Arial" w:eastAsia="Arial" w:cs="Times New Roman"/>
      <w:sz w:val="20"/>
      <w:szCs w:val="20"/>
      <w:lang w:bidi="hi-IN"/>
    </w:rPr>
  </w:style>
  <w:style w:type="numbering" w:styleId="Estilo1">
    <w:name w:val="Estilo1"/>
    <w:qFormat/>
  </w:style>
  <w:style w:type="numbering" w:styleId="Estilo2">
    <w:name w:val="Estilo2"/>
    <w:qFormat/>
  </w:style>
  <w:style w:type="numbering" w:styleId="Estilo3">
    <w:name w:val="Estilo3"/>
    <w:qFormat/>
  </w:style>
  <w:style w:type="numbering" w:styleId="Estilo4">
    <w:name w:val="Estilo4"/>
    <w:qFormat/>
  </w:style>
  <w:style w:type="numbering" w:styleId="Estilo5">
    <w:name w:val="Estilo5"/>
    <w:qFormat/>
  </w:style>
  <w:style w:type="numbering" w:styleId="Estilo6">
    <w:name w:val="Estilo6"/>
    <w:qFormat/>
  </w:style>
  <w:style w:type="numbering" w:styleId="WW8Num3">
    <w:name w:val="WW8Num3"/>
    <w:qFormat/>
  </w:style>
  <w:style w:type="numbering" w:styleId="NumeraoABC">
    <w:name w:val="Numeração ABC"/>
    <w:qFormat/>
  </w:style>
  <w:style w:type="numbering" w:styleId="Numeraoivx">
    <w:name w:val="Numeração ivx"/>
    <w:qFormat/>
  </w:style>
  <w:style w:type="numbering" w:styleId="NumeraoIVX1">
    <w:name w:val="Numeração IVX"/>
    <w:qFormat/>
  </w:style>
  <w:style w:type="numbering" w:styleId="Numeraoabc1">
    <w:name w:val="Numeração abc"/>
    <w:qFormat/>
  </w:style>
</w:styles>
</file>

<file path=word/_rels/comments.xml.rels><?xml version="1.0" encoding="UTF-8"?>
<Relationships xmlns="http://schemas.openxmlformats.org/package/2006/relationships"><Relationship Id="rId1" Type="http://schemas.openxmlformats.org/officeDocument/2006/relationships/hyperlink" Target="https://www.gov.br/compras/pt-br/acesso-a-informacao/legislacao/instrucoes-normativas/instrucao-normativa-seges-me-no-73-de-30-de-setembro-de-2022" TargetMode="External"/><Relationship Id="rId2" Type="http://schemas.openxmlformats.org/officeDocument/2006/relationships/hyperlink" Target="https://www.gov.br/compras/pt-br/acesso-a-informacao/legislacao/instrucoes-normativas/instrucao-normativa-seges-me-no-73-de-30-de-setembro-de-2022" TargetMode="External"/><Relationship Id="rId3" Type="http://schemas.openxmlformats.org/officeDocument/2006/relationships/hyperlink" Target="http://www.planalto.gov.br/CCIVIL_03/_Ato2019-2022/2019/Decreto/D10024.htm" TargetMode="External"/><Relationship Id="rId4" Type="http://schemas.openxmlformats.org/officeDocument/2006/relationships/hyperlink" Target="https://www.gov.br/compras/pt-br/acesso-a-informacao/legislacao/instrucoes-normativas/instrucao-normativa-seges-me-no-73-de-30-de-setembro-de-2022" TargetMode="External"/><Relationship Id="rId5" Type="http://schemas.openxmlformats.org/officeDocument/2006/relationships/hyperlink" Target="http://www.planalto.gov.br/ccivil_03/_ato2019-2022/2021/lei/L14133.htm" TargetMode="External"/><Relationship Id="rId6" Type="http://schemas.openxmlformats.org/officeDocument/2006/relationships/hyperlink" Target="http://www.planalto.gov.br/ccivil_03/_ato2019-2022/2021/lei/L14133.htm" TargetMode="External"/><Relationship Id="rId7" Type="http://schemas.openxmlformats.org/officeDocument/2006/relationships/hyperlink" Target="https://www.in.gov.br/en/web/dou/-/portaria-me-n-1.144-de-3-de-fevereiro-de-2021-302550048" TargetMode="External"/><Relationship Id="rId8" Type="http://schemas.openxmlformats.org/officeDocument/2006/relationships/hyperlink" Target="http://www.planalto.gov.br/ccivil_03/leis/lcp/lcp116.htm" TargetMode="External"/><Relationship Id="rId9" Type="http://schemas.openxmlformats.org/officeDocument/2006/relationships/hyperlink" Target="https://www.planalto.gov.br/ccivil_03/_ato2015-2018/2018/lei/l13709.htm" TargetMode="External"/><Relationship Id="rId10" Type="http://schemas.openxmlformats.org/officeDocument/2006/relationships/hyperlink" Target="https://www.planalto.gov.br/ccivil_03/leis/l8078compilado.htm" TargetMode="External"/><Relationship Id="rId11" Type="http://schemas.openxmlformats.org/officeDocument/2006/relationships/hyperlink" Target="https://www.planalto.gov.br/ccivil_03/leis/l8078compilado.htm" TargetMode="External"/>
</Relationship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mailto:licitacao.eparaguacu@gmail.com" TargetMode="External"/><Relationship Id="rId3" Type="http://schemas.openxmlformats.org/officeDocument/2006/relationships/header" Target="header1.xml"/><Relationship Id="rId4" Type="http://schemas.openxmlformats.org/officeDocument/2006/relationships/hyperlink" Target="http://www.planalto.gov.br/ccivil_03/_ato2019-2022/2021/lei/L14133.htm" TargetMode="External"/><Relationship Id="rId5" Type="http://schemas.openxmlformats.org/officeDocument/2006/relationships/hyperlink" Target="https://www.eparaguacu.sp.gov.br/public/admin/globalarq/legislacao/arquivo/0540d5c431116f4a5a3a3e12c7fe74c2.pdf" TargetMode="External"/><Relationship Id="rId6" Type="http://schemas.openxmlformats.org/officeDocument/2006/relationships/hyperlink" Target="http://sistemas.eparaguacu.sp.gov.br:6060/comprasedital/" TargetMode="External"/><Relationship Id="rId7" Type="http://schemas.openxmlformats.org/officeDocument/2006/relationships/hyperlink" Target="http://eparaguacu.sp.gov.br/" TargetMode="External"/><Relationship Id="rId8" Type="http://schemas.openxmlformats.org/officeDocument/2006/relationships/hyperlink" Target="http://sistemas.eparaguacu.sp.gov.br:6060/comprasedital/" TargetMode="External"/><Relationship Id="rId9" Type="http://schemas.openxmlformats.org/officeDocument/2006/relationships/hyperlink" Target="https://eparaguacu.sp.gov.br/public/admin/globalarq/uploads/files/Manual do Fornecedor.pdf" TargetMode="External"/><Relationship Id="rId10" Type="http://schemas.openxmlformats.org/officeDocument/2006/relationships/hyperlink" Target="https://www.planalto.gov.br/ccivil_03/leis/lcp/lcp123.htm" TargetMode="External"/><Relationship Id="rId11" Type="http://schemas.openxmlformats.org/officeDocument/2006/relationships/hyperlink" Target="http://www.planalto.gov.br/ccivil_03/_ato2019-2022/2021/lei/L14133.htm" TargetMode="External"/><Relationship Id="rId12" Type="http://schemas.openxmlformats.org/officeDocument/2006/relationships/hyperlink" Target="https://www.planalto.gov.br/ccivil_03/constituicao/constituicaocompilado.htm" TargetMode="External"/><Relationship Id="rId13"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_ato2015-2018/2015/decreto/d8539.htm" TargetMode="External"/><Relationship Id="rId15" Type="http://schemas.openxmlformats.org/officeDocument/2006/relationships/hyperlink" Target="https://www.portaltransparencia.gov.br/sancoes/ceis" TargetMode="External"/><Relationship Id="rId16" Type="http://schemas.openxmlformats.org/officeDocument/2006/relationships/hyperlink" Target="https://www.portaltransparencia.gov.br/sancoes/cnep" TargetMode="External"/><Relationship Id="rId17" Type="http://schemas.openxmlformats.org/officeDocument/2006/relationships/hyperlink" Target="https://www.gov.br/compras/pt-br/acesso-a-informacao/legislacao/instrucoes-normativas/instrucao-normativa-no-3-de-26-de-abril-de-2018" TargetMode="External"/><Relationship Id="rId18" Type="http://schemas.openxmlformats.org/officeDocument/2006/relationships/hyperlink" Target="https://www.gov.br/compras/pt-br/acesso-a-informacao/legislacao/instrucoes-normativas/instrucao-normativa-no-3-de-26-de-abril-de-2018" TargetMode="External"/><Relationship Id="rId19" Type="http://schemas.openxmlformats.org/officeDocument/2006/relationships/hyperlink" Target="https://www.gov.br/compras/pt-br/acesso-a-informacao/legislacao/instrucoes-normativas/instrucao-normativa-seges-me-no-73-de-30-de-setembro-de-2022" TargetMode="External"/><Relationship Id="rId20" Type="http://schemas.openxmlformats.org/officeDocument/2006/relationships/hyperlink" Target="http://sistemas.eparaguacu.sp.gov.br:8079/comprasedital/" TargetMode="External"/><Relationship Id="rId21" Type="http://schemas.openxmlformats.org/officeDocument/2006/relationships/hyperlink" Target="http://www.eparaguacu.sp.gov.br/" TargetMode="External"/><Relationship Id="rId22"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26" Type="http://schemas.openxmlformats.org/officeDocument/2006/relationships/hyperlink" Target="https://www.planalto.gov.br/ccivil_03/leis/l8078compilado.htm" TargetMode="External"/><Relationship Id="rId27" Type="http://schemas.openxmlformats.org/officeDocument/2006/relationships/hyperlink" Target="https://www.gov.br/compras/pt-br/acesso-a-informacao/legislacao/instrucoes-normativas/instrucao-normativa-no-01-de-19-de-janeiro-de-2010" TargetMode="External"/><Relationship Id="rId28" Type="http://schemas.openxmlformats.org/officeDocument/2006/relationships/hyperlink" Target="http://www.ibama.gov.br/component/legislacao/?view=legislacao&amp;legislacao=112647" TargetMode="External"/><Relationship Id="rId29" Type="http://schemas.openxmlformats.org/officeDocument/2006/relationships/hyperlink" Target="http://www.ibama.gov.br/phocadownload/sinaflor/2018/2018-06-13-Ibama-IN-IBAMA-21-24-12-2014-SINAFLOR-DOF-compilada.pdf" TargetMode="External"/><Relationship Id="rId30" Type="http://schemas.openxmlformats.org/officeDocument/2006/relationships/hyperlink" Target="https://cetesb.sp.gov.br/licenciamento/documentos/2002_Res_CONAMA_307.pdf" TargetMode="External"/><Relationship Id="rId31" Type="http://schemas.openxmlformats.org/officeDocument/2006/relationships/hyperlink" Target="http://www.ipaam.am.gov.br/wp-content/uploads/2021/01/Conama-382-Poluentes-atmosfericos.pdf" TargetMode="External"/><Relationship Id="rId32" Type="http://schemas.openxmlformats.org/officeDocument/2006/relationships/hyperlink" Target="http://www.ibama.gov.br/sophia/cnia/legislacao/MMA/RE0001-080390.PDF" TargetMode="External"/><Relationship Id="rId33" Type="http://schemas.openxmlformats.org/officeDocument/2006/relationships/hyperlink" Target="https://www.gov.br/compras/pt-br/acesso-a-informacao/legislacao/instrucoes-normativas/instrucao-normativa-no-01-de-19-de-janeiro-de-2010" TargetMode="External"/><Relationship Id="rId34" Type="http://schemas.openxmlformats.org/officeDocument/2006/relationships/hyperlink" Target="https://www.planalto.gov.br/ccivil_03/_ato2015-2018/2018/lei/l13709.htm" TargetMode="External"/><Relationship Id="rId35" Type="http://schemas.openxmlformats.org/officeDocument/2006/relationships/hyperlink" Target="https://www.planalto.gov.br/ccivil_03/_ato2015-2018/2018/lei/l13709.htm" TargetMode="External"/><Relationship Id="rId36"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39" Type="http://schemas.openxmlformats.org/officeDocument/2006/relationships/hyperlink" Target="https://ceiscadastro.cgu.gov.br/index.aspx?ReturnUrl=%2F" TargetMode="External"/><Relationship Id="rId40" Type="http://schemas.openxmlformats.org/officeDocument/2006/relationships/hyperlink" Target="https://www.gov.br/compras/pt-br/acesso-a-informacao/legislacao/instrucoes-normativas/instrucao-normativa-seges-me-no-26-de-13-de-abril-de-2022" TargetMode="External"/><Relationship Id="rId41" Type="http://schemas.openxmlformats.org/officeDocument/2006/relationships/hyperlink" Target="http://www.planalto.gov.br/ccivil_03/_ato2019-2022/2021/lei/L14133.htm" TargetMode="External"/><Relationship Id="rId42" Type="http://schemas.openxmlformats.org/officeDocument/2006/relationships/hyperlink" Target="https://www.planalto.gov.br/ccivil_03/leis/l8078compilado.htm" TargetMode="External"/><Relationship Id="rId43" Type="http://schemas.openxmlformats.org/officeDocument/2006/relationships/header" Target="header2.xml"/><Relationship Id="rId44" Type="http://schemas.openxmlformats.org/officeDocument/2006/relationships/footer" Target="footer1.xml"/><Relationship Id="rId45" Type="http://schemas.openxmlformats.org/officeDocument/2006/relationships/comments" Target="comments.xml"/><Relationship Id="rId46" Type="http://schemas.openxmlformats.org/officeDocument/2006/relationships/numbering" Target="numbering.xml"/><Relationship Id="rId47" Type="http://schemas.openxmlformats.org/officeDocument/2006/relationships/fontTable" Target="fontTable.xml"/><Relationship Id="rId48" Type="http://schemas.openxmlformats.org/officeDocument/2006/relationships/settings" Target="settings.xml"/>
</Relationships>
</file>

<file path=word/_rels/header1.xml.rels><?xml version="1.0" encoding="UTF-8"?>
<Relationships xmlns="http://schemas.openxmlformats.org/package/2006/relationships"><Relationship Id="rId1" Type="http://schemas.openxmlformats.org/officeDocument/2006/relationships/oleObject" Target="embeddings/oleObject1.bin"/><Relationship Id="rId2" Type="http://schemas.openxmlformats.org/officeDocument/2006/relationships/image" Target="media/image1.wmf"/>
</Relationships>
</file>

<file path=word/_rels/header2.xml.rels><?xml version="1.0" encoding="UTF-8"?>
<Relationships xmlns="http://schemas.openxmlformats.org/package/2006/relationships"><Relationship Id="rId1" Type="http://schemas.openxmlformats.org/officeDocument/2006/relationships/oleObject" Target="embeddings/oleObject2.bin"/><Relationship Id="rId2" Type="http://schemas.openxmlformats.org/officeDocument/2006/relationships/image" Target="media/image2.wmf"/>
</Relationships>
</file>

<file path=docProps/app.xml><?xml version="1.0" encoding="utf-8"?>
<Properties xmlns="http://schemas.openxmlformats.org/officeDocument/2006/extended-properties" xmlns:vt="http://schemas.openxmlformats.org/officeDocument/2006/docPropsVTypes">
  <Template>Normal.dotm</Template>
  <TotalTime>775</TotalTime>
  <Application>LibreOffice/7.0.2.2$Windows_X86_64 LibreOffice_project/8349ace3c3162073abd90d81fd06dcfb6b36b994</Application>
  <Pages>27</Pages>
  <Words>14766</Words>
  <Characters>83524</Characters>
  <CharactersWithSpaces>98594</CharactersWithSpaces>
  <Paragraphs>666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2023-05-20T13:00:00Z</dcterms:created>
  <dc:creator/>
  <dc:description/>
  <dc:language>pt-BR</dc:language>
  <cp:lastModifiedBy/>
  <cp:lastPrinted>2024-02-27T16:43:54Z</cp:lastPrinted>
  <dcterms:modified xsi:type="dcterms:W3CDTF">2024-03-08T14:52:56Z</dcterms:modified>
  <cp:revision>39</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ntentTypeId">
    <vt:lpwstr>0x01010012A2765E7DFD38469B2E626874CD0041</vt:lpwstr>
  </property>
  <property fmtid="{D5CDD505-2E9C-101B-9397-08002B2CF9AE}" pid="4" name="MediaServiceImageTags">
    <vt:lpwstr/>
  </property>
</Properties>
</file>